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glossary/document.xml" ContentType="application/vnd.openxmlformats-officedocument.wordprocessingml.document.glossary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B3227" w:rsidRDefault="00E24D5E">
      <w:r>
        <w:rPr>
          <w:noProof/>
          <w:lang w:eastAsia="hu-HU" w:bidi="ar-SA"/>
        </w:rPr>
        <w:drawing>
          <wp:inline distT="0" distB="0" distL="0" distR="0">
            <wp:extent cx="5489244" cy="3452884"/>
            <wp:effectExtent l="19050" t="0" r="16206" b="0"/>
            <wp:docPr id="4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B3227" w:rsidRDefault="00CB3227"/>
    <w:p w:rsidR="00CB3227" w:rsidRDefault="00CB3227"/>
    <w:p w:rsidR="0030323F" w:rsidRDefault="00075984">
      <w:r>
        <w:rPr>
          <w:noProof/>
          <w:lang w:eastAsia="hu-HU" w:bidi="ar-SA"/>
        </w:rPr>
        <w:drawing>
          <wp:inline distT="0" distB="0" distL="0" distR="0">
            <wp:extent cx="5486400" cy="3200400"/>
            <wp:effectExtent l="19050" t="0" r="19050" b="0"/>
            <wp:docPr id="2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24D5E" w:rsidRDefault="00E24D5E"/>
    <w:p w:rsidR="002F02E6" w:rsidRDefault="002F02E6">
      <w:pPr>
        <w:widowControl/>
        <w:suppressAutoHyphens w:val="0"/>
      </w:pPr>
      <w:r>
        <w:br w:type="page"/>
      </w:r>
    </w:p>
    <w:p w:rsidR="002F02E6" w:rsidRDefault="002F02E6"/>
    <w:p w:rsidR="002F02E6" w:rsidRDefault="002F02E6"/>
    <w:p w:rsidR="002F02E6" w:rsidRDefault="002F02E6"/>
    <w:p w:rsidR="002F02E6" w:rsidRDefault="002F02E6">
      <w:r>
        <w:rPr>
          <w:noProof/>
          <w:lang w:eastAsia="hu-HU" w:bidi="ar-SA"/>
        </w:rPr>
        <w:drawing>
          <wp:inline distT="0" distB="0" distL="0" distR="0">
            <wp:extent cx="5486400" cy="3200400"/>
            <wp:effectExtent l="19050" t="0" r="19050" b="0"/>
            <wp:docPr id="8" name="Diagram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F02E6" w:rsidRDefault="002F02E6"/>
    <w:p w:rsidR="002F02E6" w:rsidRDefault="002F02E6"/>
    <w:p w:rsidR="002F02E6" w:rsidRDefault="002F02E6"/>
    <w:p w:rsidR="002F02E6" w:rsidRDefault="002F02E6"/>
    <w:p w:rsidR="00E24D5E" w:rsidRDefault="002F02E6">
      <w:r>
        <w:rPr>
          <w:noProof/>
          <w:lang w:eastAsia="hu-HU" w:bidi="ar-SA"/>
        </w:rPr>
        <w:drawing>
          <wp:inline distT="0" distB="0" distL="0" distR="0">
            <wp:extent cx="5486400" cy="3200400"/>
            <wp:effectExtent l="19050" t="0" r="19050" b="0"/>
            <wp:docPr id="7" name="Diagram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55A7B" w:rsidRDefault="00C55A7B"/>
    <w:p w:rsidR="00C55A7B" w:rsidRDefault="00C55A7B">
      <w:r>
        <w:rPr>
          <w:noProof/>
          <w:lang w:eastAsia="hu-HU" w:bidi="ar-SA"/>
        </w:rPr>
        <w:lastRenderedPageBreak/>
        <w:drawing>
          <wp:inline distT="0" distB="0" distL="0" distR="0">
            <wp:extent cx="5486400" cy="3200400"/>
            <wp:effectExtent l="19050" t="0" r="19050" b="0"/>
            <wp:docPr id="9" name="Diagram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55A7B" w:rsidRDefault="00C55A7B"/>
    <w:p w:rsidR="00C55A7B" w:rsidRDefault="00C55A7B"/>
    <w:p w:rsidR="00C55A7B" w:rsidRDefault="00C55A7B"/>
    <w:p w:rsidR="00C55A7B" w:rsidRDefault="005D7EFE">
      <w:r>
        <w:rPr>
          <w:noProof/>
          <w:lang w:eastAsia="hu-HU" w:bidi="ar-SA"/>
        </w:rPr>
        <w:drawing>
          <wp:inline distT="0" distB="0" distL="0" distR="0">
            <wp:extent cx="5486400" cy="3200400"/>
            <wp:effectExtent l="19050" t="0" r="19050" b="0"/>
            <wp:docPr id="14" name="Diagram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C7129" w:rsidRDefault="005C7129">
      <w:pPr>
        <w:widowControl/>
        <w:suppressAutoHyphens w:val="0"/>
      </w:pPr>
      <w:r>
        <w:br w:type="page"/>
      </w:r>
    </w:p>
    <w:p w:rsidR="005C7129" w:rsidRDefault="005C7129">
      <w:r w:rsidRPr="005C7129">
        <w:rPr>
          <w:noProof/>
          <w:lang w:eastAsia="hu-HU" w:bidi="ar-SA"/>
        </w:rPr>
        <w:lastRenderedPageBreak/>
        <w:drawing>
          <wp:inline distT="0" distB="0" distL="0" distR="0">
            <wp:extent cx="5486400" cy="3200400"/>
            <wp:effectExtent l="19050" t="0" r="19050" b="0"/>
            <wp:docPr id="13" name="Diagram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5C7129" w:rsidSect="00CB3227">
      <w:headerReference w:type="default" r:id="rId15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F11" w:rsidRDefault="00087F11" w:rsidP="00835A5B">
      <w:r>
        <w:separator/>
      </w:r>
    </w:p>
  </w:endnote>
  <w:endnote w:type="continuationSeparator" w:id="0">
    <w:p w:rsidR="00087F11" w:rsidRDefault="00087F11" w:rsidP="00835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F11" w:rsidRDefault="00087F11" w:rsidP="00835A5B">
      <w:r>
        <w:separator/>
      </w:r>
    </w:p>
  </w:footnote>
  <w:footnote w:type="continuationSeparator" w:id="0">
    <w:p w:rsidR="00087F11" w:rsidRDefault="00087F11" w:rsidP="00835A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FE8" w:rsidRDefault="004E26E5">
    <w:pPr>
      <w:pStyle w:val="lfej"/>
    </w:pPr>
    <w:r>
      <w:rPr>
        <w:noProof/>
        <w:lang w:eastAsia="zh-TW"/>
      </w:rPr>
      <w:pict>
        <v:group id="_x0000_s3073" style="position:absolute;margin-left:0;margin-top:0;width:580.4pt;height:41.75pt;z-index:251660288;mso-width-percent:950;mso-position-horizontal:center;mso-position-horizontal-relative:page;mso-position-vertical:center;mso-position-vertical-relative:top-margin-area;mso-width-percent:950" coordorigin="330,308" coordsize="11586,835" o:allowincell="f">
          <v:rect id="_x0000_s3074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3074">
              <w:txbxContent>
                <w:sdt>
                  <w:sdtPr>
                    <w:rPr>
                      <w:iCs/>
                      <w:color w:val="00000A"/>
                    </w:rPr>
                    <w:alias w:val="Cím"/>
                    <w:id w:val="538682326"/>
                    <w:placeholder>
                      <w:docPart w:val="3ED4C10CBA904F8C8D0CF5ECFEFBB2A0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9F0FE8" w:rsidRDefault="009F0FE8">
                      <w:pPr>
                        <w:pStyle w:val="lfej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835A5B">
                        <w:rPr>
                          <w:iCs/>
                          <w:color w:val="00000A"/>
                        </w:rPr>
                        <w:t>Hatósági szakterület 2. számú melléklet</w:t>
                      </w:r>
                      <w:r>
                        <w:rPr>
                          <w:iCs/>
                          <w:color w:val="00000A"/>
                        </w:rPr>
                        <w:t>e</w:t>
                      </w:r>
                    </w:p>
                  </w:sdtContent>
                </w:sdt>
              </w:txbxContent>
            </v:textbox>
          </v:rect>
          <v:rect id="_x0000_s3075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3075"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Év"/>
                    <w:id w:val="78709920"/>
                    <w:placeholder>
                      <w:docPart w:val="25EF25050E1843BD953986F33521BADF"/>
                    </w:placeholder>
                    <w:dataBinding w:prefixMappings="xmlns:ns0='http://schemas.microsoft.com/office/2006/coverPageProps'" w:xpath="/ns0:CoverPageProperties[1]/ns0:PublishDate[1]" w:storeItemID="{55AF091B-3C7A-41E3-B477-F2FDAA23CFDA}"/>
                    <w:date w:fullDate="2013-11-30T00:00:00Z">
                      <w:dateFormat w:val="yyyy."/>
                      <w:lid w:val="hu-HU"/>
                      <w:storeMappedDataAs w:val="dateTime"/>
                      <w:calendar w:val="gregorian"/>
                    </w:date>
                  </w:sdtPr>
                  <w:sdtContent>
                    <w:p w:rsidR="009F0FE8" w:rsidRDefault="009F0FE8">
                      <w:pPr>
                        <w:pStyle w:val="lfej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2013.</w:t>
                      </w:r>
                    </w:p>
                  </w:sdtContent>
                </w:sdt>
              </w:txbxContent>
            </v:textbox>
          </v:rect>
          <v:rect id="_x0000_s3076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9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2">
      <o:colormenu v:ext="edit" fillcolor="none [4]" strokecolor="none [1]" shadowcolor="none [2]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AC403A"/>
    <w:rsid w:val="000419C5"/>
    <w:rsid w:val="0005596C"/>
    <w:rsid w:val="00075984"/>
    <w:rsid w:val="00087F11"/>
    <w:rsid w:val="001C6B40"/>
    <w:rsid w:val="002F02E6"/>
    <w:rsid w:val="0030323F"/>
    <w:rsid w:val="00427B73"/>
    <w:rsid w:val="004E000F"/>
    <w:rsid w:val="004E26E5"/>
    <w:rsid w:val="005950C6"/>
    <w:rsid w:val="005C7129"/>
    <w:rsid w:val="005D7EFE"/>
    <w:rsid w:val="00636F33"/>
    <w:rsid w:val="00835A5B"/>
    <w:rsid w:val="009F0FE8"/>
    <w:rsid w:val="00AC403A"/>
    <w:rsid w:val="00B07C4E"/>
    <w:rsid w:val="00C55A7B"/>
    <w:rsid w:val="00CB3227"/>
    <w:rsid w:val="00E24D5E"/>
    <w:rsid w:val="00E62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B3227"/>
    <w:pPr>
      <w:widowControl w:val="0"/>
      <w:suppressAutoHyphens/>
    </w:pPr>
    <w:rPr>
      <w:rFonts w:eastAsia="Arial Unicode MS" w:cs="Mangal"/>
      <w:kern w:val="1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rsid w:val="00CB3227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rsid w:val="00CB3227"/>
    <w:pPr>
      <w:spacing w:after="120"/>
    </w:pPr>
  </w:style>
  <w:style w:type="paragraph" w:styleId="Lista">
    <w:name w:val="List"/>
    <w:basedOn w:val="Szvegtrzs"/>
    <w:rsid w:val="00CB3227"/>
  </w:style>
  <w:style w:type="paragraph" w:styleId="Kpalrs">
    <w:name w:val="caption"/>
    <w:basedOn w:val="Norml"/>
    <w:qFormat/>
    <w:rsid w:val="00CB3227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rsid w:val="00CB3227"/>
    <w:pPr>
      <w:suppressLineNumbers/>
    </w:pPr>
  </w:style>
  <w:style w:type="paragraph" w:styleId="lfej">
    <w:name w:val="header"/>
    <w:basedOn w:val="Norml"/>
    <w:link w:val="lfejChar"/>
    <w:uiPriority w:val="99"/>
    <w:unhideWhenUsed/>
    <w:rsid w:val="00835A5B"/>
    <w:pPr>
      <w:tabs>
        <w:tab w:val="center" w:pos="4536"/>
        <w:tab w:val="right" w:pos="9072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835A5B"/>
    <w:rPr>
      <w:rFonts w:eastAsia="Arial Unicode MS" w:cs="Mangal"/>
      <w:kern w:val="1"/>
      <w:sz w:val="24"/>
      <w:szCs w:val="21"/>
      <w:lang w:eastAsia="zh-CN" w:bidi="hi-IN"/>
    </w:rPr>
  </w:style>
  <w:style w:type="paragraph" w:styleId="llb">
    <w:name w:val="footer"/>
    <w:basedOn w:val="Norml"/>
    <w:link w:val="llbChar"/>
    <w:uiPriority w:val="99"/>
    <w:semiHidden/>
    <w:unhideWhenUsed/>
    <w:rsid w:val="00835A5B"/>
    <w:pPr>
      <w:tabs>
        <w:tab w:val="center" w:pos="4536"/>
        <w:tab w:val="right" w:pos="9072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semiHidden/>
    <w:rsid w:val="00835A5B"/>
    <w:rPr>
      <w:rFonts w:eastAsia="Arial Unicode MS" w:cs="Mangal"/>
      <w:kern w:val="1"/>
      <w:sz w:val="24"/>
      <w:szCs w:val="21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35A5B"/>
    <w:rPr>
      <w:rFonts w:ascii="Tahoma" w:hAnsi="Tahoma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35A5B"/>
    <w:rPr>
      <w:rFonts w:ascii="Tahoma" w:eastAsia="Arial Unicode MS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munkalap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munkalap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munkalap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munkalap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munkalap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munkalap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munkalap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hu-HU">
                <a:latin typeface="Times New Roman" pitchFamily="18" charset="0"/>
                <a:cs typeface="Times New Roman" pitchFamily="18" charset="0"/>
              </a:rPr>
              <a:t>Ügyiratszámok alakulása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Munka1!$B$1</c:f>
              <c:strCache>
                <c:ptCount val="1"/>
                <c:pt idx="0">
                  <c:v>Ügyirat</c:v>
                </c:pt>
              </c:strCache>
            </c:strRef>
          </c:tx>
          <c:dLbls>
            <c:dLbl>
              <c:idx val="0"/>
              <c:layout>
                <c:manualLayout>
                  <c:x val="4.6296296296296328E-3"/>
                  <c:y val="-1.1904761904761836E-2"/>
                </c:manualLayout>
              </c:layout>
              <c:showVal val="1"/>
            </c:dLbl>
            <c:dLbl>
              <c:idx val="1"/>
              <c:layout>
                <c:manualLayout>
                  <c:x val="2.3148148148148147E-3"/>
                  <c:y val="-1.9841269841269851E-2"/>
                </c:manualLayout>
              </c:layout>
              <c:showVal val="1"/>
            </c:dLbl>
            <c:spPr>
              <a:gradFill rotWithShape="1">
                <a:gsLst>
                  <a:gs pos="0">
                    <a:schemeClr val="accent2">
                      <a:tint val="50000"/>
                      <a:satMod val="300000"/>
                    </a:schemeClr>
                  </a:gs>
                  <a:gs pos="35000">
                    <a:schemeClr val="accent2">
                      <a:tint val="37000"/>
                      <a:satMod val="300000"/>
                    </a:schemeClr>
                  </a:gs>
                  <a:gs pos="100000">
                    <a:schemeClr val="accent2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2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txPr>
              <a:bodyPr/>
              <a:lstStyle/>
              <a:p>
                <a:pPr>
                  <a:defRPr sz="1200" b="1" i="0"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hu-HU"/>
              </a:p>
            </c:txPr>
            <c:showVal val="1"/>
            <c:showCatName val="1"/>
          </c:dLbls>
          <c:cat>
            <c:numRef>
              <c:f>Munka1!$A$2:$A$3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Munka1!$B$2:$B$3</c:f>
              <c:numCache>
                <c:formatCode>General</c:formatCode>
                <c:ptCount val="2"/>
                <c:pt idx="0">
                  <c:v>2829</c:v>
                </c:pt>
                <c:pt idx="1">
                  <c:v>3620</c:v>
                </c:pt>
              </c:numCache>
            </c:numRef>
          </c:val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Irat</c:v>
                </c:pt>
              </c:strCache>
            </c:strRef>
          </c:tx>
          <c:dLbls>
            <c:dLbl>
              <c:idx val="0"/>
              <c:layout>
                <c:manualLayout>
                  <c:x val="1.6203703703703713E-2"/>
                  <c:y val="-1.5873015873015879E-2"/>
                </c:manualLayout>
              </c:layout>
              <c:showVal val="1"/>
            </c:dLbl>
            <c:dLbl>
              <c:idx val="1"/>
              <c:layout>
                <c:manualLayout>
                  <c:x val="1.1574074074074075E-2"/>
                  <c:y val="-1.5873015873015879E-2"/>
                </c:manualLayout>
              </c:layout>
              <c:showVal val="1"/>
            </c:dLbl>
            <c:spPr>
              <a:gradFill rotWithShape="1">
                <a:gsLst>
                  <a:gs pos="0">
                    <a:schemeClr val="accent3">
                      <a:tint val="50000"/>
                      <a:satMod val="300000"/>
                    </a:schemeClr>
                  </a:gs>
                  <a:gs pos="35000">
                    <a:schemeClr val="accent3">
                      <a:tint val="37000"/>
                      <a:satMod val="300000"/>
                    </a:schemeClr>
                  </a:gs>
                  <a:gs pos="100000">
                    <a:schemeClr val="accent3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3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txPr>
              <a:bodyPr/>
              <a:lstStyle/>
              <a:p>
                <a:pPr>
                  <a:defRPr sz="1200" b="1"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hu-HU"/>
              </a:p>
            </c:txPr>
            <c:showVal val="1"/>
          </c:dLbls>
          <c:cat>
            <c:numRef>
              <c:f>Munka1!$A$2:$A$3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Munka1!$C$2:$C$3</c:f>
              <c:numCache>
                <c:formatCode>General</c:formatCode>
                <c:ptCount val="2"/>
                <c:pt idx="0">
                  <c:v>7015</c:v>
                </c:pt>
                <c:pt idx="1">
                  <c:v>15892</c:v>
                </c:pt>
              </c:numCache>
            </c:numRef>
          </c:val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Irat/ügyintéző</c:v>
                </c:pt>
              </c:strCache>
            </c:strRef>
          </c:tx>
          <c:dLbls>
            <c:dLbl>
              <c:idx val="0"/>
              <c:layout>
                <c:manualLayout>
                  <c:x val="2.3143441974887598E-2"/>
                  <c:y val="-2.3519469521709982E-2"/>
                </c:manualLayout>
              </c:layout>
              <c:showVal val="1"/>
            </c:dLbl>
            <c:dLbl>
              <c:idx val="1"/>
              <c:layout>
                <c:manualLayout>
                  <c:x val="2.083333333333335E-2"/>
                  <c:y val="-1.9841269841269851E-2"/>
                </c:manualLayout>
              </c:layout>
              <c:showVal val="1"/>
            </c:dLbl>
            <c:spPr>
              <a:gradFill rotWithShape="1">
                <a:gsLst>
                  <a:gs pos="0">
                    <a:schemeClr val="accent1">
                      <a:tint val="50000"/>
                      <a:satMod val="300000"/>
                    </a:schemeClr>
                  </a:gs>
                  <a:gs pos="35000">
                    <a:schemeClr val="accent1">
                      <a:tint val="37000"/>
                      <a:satMod val="300000"/>
                    </a:schemeClr>
                  </a:gs>
                  <a:gs pos="100000">
                    <a:schemeClr val="accent1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1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txPr>
              <a:bodyPr/>
              <a:lstStyle/>
              <a:p>
                <a:pPr>
                  <a:defRPr sz="1200" b="1"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hu-HU"/>
              </a:p>
            </c:txPr>
            <c:showVal val="1"/>
          </c:dLbls>
          <c:cat>
            <c:numRef>
              <c:f>Munka1!$A$2:$A$3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Munka1!$D$2:$D$3</c:f>
              <c:numCache>
                <c:formatCode>General</c:formatCode>
                <c:ptCount val="2"/>
                <c:pt idx="0">
                  <c:v>876.85999999999967</c:v>
                </c:pt>
                <c:pt idx="1">
                  <c:v>1444.73</c:v>
                </c:pt>
              </c:numCache>
            </c:numRef>
          </c:val>
        </c:ser>
        <c:dLbls>
          <c:showVal val="1"/>
        </c:dLbls>
        <c:shape val="cylinder"/>
        <c:axId val="40552704"/>
        <c:axId val="40685952"/>
        <c:axId val="0"/>
      </c:bar3DChart>
      <c:catAx>
        <c:axId val="4055270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685952"/>
        <c:crosses val="autoZero"/>
        <c:auto val="1"/>
        <c:lblAlgn val="ctr"/>
        <c:lblOffset val="100"/>
      </c:catAx>
      <c:valAx>
        <c:axId val="4068595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0552704"/>
        <c:crosses val="autoZero"/>
        <c:crossBetween val="between"/>
      </c:valAx>
    </c:plotArea>
    <c:legend>
      <c:legendPos val="r"/>
      <c:txPr>
        <a:bodyPr/>
        <a:lstStyle/>
        <a:p>
          <a:pPr>
            <a:defRPr b="1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</c:chart>
  <c:spPr>
    <a:solidFill>
      <a:srgbClr val="FFFF00"/>
    </a:solidFill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chart>
    <c:title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title>
    <c:plotArea>
      <c:layout/>
      <c:barChart>
        <c:barDir val="bar"/>
        <c:grouping val="stacked"/>
        <c:ser>
          <c:idx val="0"/>
          <c:order val="0"/>
          <c:tx>
            <c:strRef>
              <c:f>Munka1!$B$1</c:f>
              <c:strCache>
                <c:ptCount val="1"/>
                <c:pt idx="0">
                  <c:v>Végrehajtott ellenőrzések</c:v>
                </c:pt>
              </c:strCache>
            </c:strRef>
          </c:tx>
          <c:spPr>
            <a:solidFill>
              <a:srgbClr val="0070C0"/>
            </a:solidFill>
          </c:spPr>
          <c:dLbls>
            <c:dLbl>
              <c:idx val="0"/>
              <c:layout>
                <c:manualLayout>
                  <c:x val="0.10879629629629639"/>
                  <c:y val="0"/>
                </c:manualLayout>
              </c:layout>
              <c:dLblPos val="ctr"/>
              <c:showVal val="1"/>
            </c:dLbl>
            <c:dLbl>
              <c:idx val="1"/>
              <c:layout>
                <c:manualLayout>
                  <c:x val="0.27083333333333326"/>
                  <c:y val="3.9682539682539706E-3"/>
                </c:manualLayout>
              </c:layout>
              <c:dLblPos val="ctr"/>
              <c:showVal val="1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1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 sz="1400" b="1"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Val val="1"/>
          </c:dLbls>
          <c:cat>
            <c:numRef>
              <c:f>Munka1!$A$2:$A$3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Munka1!$B$2:$B$3</c:f>
              <c:numCache>
                <c:formatCode>General</c:formatCode>
                <c:ptCount val="2"/>
                <c:pt idx="0">
                  <c:v>260</c:v>
                </c:pt>
                <c:pt idx="1">
                  <c:v>811</c:v>
                </c:pt>
              </c:numCache>
            </c:numRef>
          </c:val>
        </c:ser>
        <c:dLbls>
          <c:showVal val="1"/>
        </c:dLbls>
        <c:overlap val="100"/>
        <c:axId val="76548736"/>
        <c:axId val="76965376"/>
      </c:barChart>
      <c:catAx>
        <c:axId val="76548736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76965376"/>
        <c:crosses val="autoZero"/>
        <c:auto val="1"/>
        <c:lblAlgn val="ctr"/>
        <c:lblOffset val="100"/>
      </c:catAx>
      <c:valAx>
        <c:axId val="76965376"/>
        <c:scaling>
          <c:orientation val="minMax"/>
        </c:scaling>
        <c:axPos val="b"/>
        <c:majorGridlines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76548736"/>
        <c:crosses val="autoZero"/>
        <c:crossBetween val="between"/>
      </c:valAx>
      <c:spPr>
        <a:gradFill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5400000" scaled="0"/>
        </a:gradFill>
      </c:spPr>
    </c:plotArea>
    <c:legend>
      <c:legendPos val="r"/>
      <c:txPr>
        <a:bodyPr/>
        <a:lstStyle/>
        <a:p>
          <a:pPr>
            <a:defRPr sz="1000" b="1" i="1">
              <a:solidFill>
                <a:srgbClr val="002060"/>
              </a:solidFill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</c:chart>
  <c:spPr>
    <a:solidFill>
      <a:srgbClr val="FFFF00"/>
    </a:solidFill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chart>
    <c:title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title>
    <c:plotArea>
      <c:layout/>
      <c:doughnut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Szakhatósági ügyek összesített darabszáma</c:v>
                </c:pt>
              </c:strCache>
            </c:strRef>
          </c:tx>
          <c:explosion val="25"/>
          <c:dLbls>
            <c:spPr>
              <a:solidFill>
                <a:schemeClr val="lt1"/>
              </a:solidFill>
              <a:ln w="25400" cap="flat" cmpd="sng" algn="ctr">
                <a:solidFill>
                  <a:schemeClr val="dk1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 sz="1200" b="1"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hu-HU"/>
              </a:p>
            </c:txPr>
            <c:showVal val="1"/>
            <c:showLeaderLines val="1"/>
          </c:dLbls>
          <c:cat>
            <c:numRef>
              <c:f>Munka1!$A$2:$A$3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Munka1!$B$2:$B$3</c:f>
              <c:numCache>
                <c:formatCode>General</c:formatCode>
                <c:ptCount val="2"/>
                <c:pt idx="0">
                  <c:v>2247</c:v>
                </c:pt>
                <c:pt idx="1">
                  <c:v>2781</c:v>
                </c:pt>
              </c:numCache>
            </c:numRef>
          </c:val>
        </c:ser>
        <c:dLbls>
          <c:showPercent val="1"/>
        </c:dLbls>
        <c:firstSliceAng val="0"/>
        <c:holeSize val="50"/>
      </c:doughnutChart>
    </c:plotArea>
    <c:legend>
      <c:legendPos val="b"/>
      <c:layout>
        <c:manualLayout>
          <c:xMode val="edge"/>
          <c:yMode val="edge"/>
          <c:x val="0.7764946048410617"/>
          <c:y val="0.48389638795150636"/>
          <c:w val="0.18312190142898802"/>
          <c:h val="7.1659167604049459E-2"/>
        </c:manualLayout>
      </c:layout>
      <c:txPr>
        <a:bodyPr/>
        <a:lstStyle/>
        <a:p>
          <a:pPr>
            <a:defRPr sz="1100" b="1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</c:chart>
  <c:spPr>
    <a:solidFill>
      <a:srgbClr val="FFFF00"/>
    </a:solidFill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chart>
    <c:title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Építési engedélyezési eljárások</c:v>
                </c:pt>
              </c:strCache>
            </c:strRef>
          </c:tx>
          <c:explosion val="25"/>
          <c:dLbls>
            <c:dLbl>
              <c:idx val="0"/>
              <c:spPr>
                <a:solidFill>
                  <a:srgbClr val="FFFF00"/>
                </a:solidFill>
                <a:ln>
                  <a:solidFill>
                    <a:schemeClr val="accent1"/>
                  </a:solidFill>
                </a:ln>
              </c:spPr>
              <c:txPr>
                <a:bodyPr/>
                <a:lstStyle/>
                <a:p>
                  <a:pPr>
                    <a:defRPr sz="2000" b="1">
                      <a:solidFill>
                        <a:srgbClr val="C00000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hu-HU"/>
                </a:p>
              </c:txPr>
            </c:dLbl>
            <c:spPr>
              <a:solidFill>
                <a:srgbClr val="FFFF00"/>
              </a:solidFill>
            </c:spPr>
            <c:txPr>
              <a:bodyPr/>
              <a:lstStyle/>
              <a:p>
                <a:pPr>
                  <a:defRPr sz="2000" b="1">
                    <a:solidFill>
                      <a:srgbClr val="C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ctr"/>
            <c:showVal val="1"/>
            <c:showLeaderLines val="1"/>
          </c:dLbls>
          <c:cat>
            <c:numRef>
              <c:f>Munka1!$A$2:$A$3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Munka1!$B$2:$B$3</c:f>
              <c:numCache>
                <c:formatCode>General</c:formatCode>
                <c:ptCount val="2"/>
                <c:pt idx="0">
                  <c:v>298</c:v>
                </c:pt>
                <c:pt idx="1">
                  <c:v>570</c:v>
                </c:pt>
              </c:numCache>
            </c:numRef>
          </c:val>
        </c:ser>
      </c:pie3DChart>
      <c:spPr>
        <a:solidFill>
          <a:srgbClr val="FFFF00"/>
        </a:solidFill>
      </c:spPr>
    </c:plotArea>
    <c:legend>
      <c:legendPos val="r"/>
      <c:txPr>
        <a:bodyPr/>
        <a:lstStyle/>
        <a:p>
          <a:pPr>
            <a:defRPr sz="1100" b="1" i="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</c:chart>
  <c:spPr>
    <a:solidFill>
      <a:srgbClr val="FFFF00"/>
    </a:solidFill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hu-HU">
                <a:latin typeface="Times New Roman" pitchFamily="18" charset="0"/>
                <a:cs typeface="Times New Roman" pitchFamily="18" charset="0"/>
              </a:rPr>
              <a:t>Tűzvizsgálatok számainak változása</a:t>
            </a:r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Munka1!$B$1</c:f>
              <c:strCache>
                <c:ptCount val="1"/>
                <c:pt idx="0">
                  <c:v>Folyamatban lévő</c:v>
                </c:pt>
              </c:strCache>
            </c:strRef>
          </c:tx>
          <c:dLbls>
            <c:spPr>
              <a:gradFill rotWithShape="1">
                <a:gsLst>
                  <a:gs pos="0">
                    <a:schemeClr val="accent6">
                      <a:tint val="50000"/>
                      <a:satMod val="300000"/>
                    </a:schemeClr>
                  </a:gs>
                  <a:gs pos="35000">
                    <a:schemeClr val="accent6">
                      <a:tint val="37000"/>
                      <a:satMod val="300000"/>
                    </a:schemeClr>
                  </a:gs>
                  <a:gs pos="100000">
                    <a:schemeClr val="accent6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6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txPr>
              <a:bodyPr/>
              <a:lstStyle/>
              <a:p>
                <a:pPr>
                  <a:defRPr b="1"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hu-HU"/>
              </a:p>
            </c:txPr>
            <c:showVal val="1"/>
          </c:dLbls>
          <c:cat>
            <c:numRef>
              <c:f>Munka1!$A$2:$A$3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Munka1!$B$2:$B$3</c:f>
              <c:numCache>
                <c:formatCode>General</c:formatCode>
                <c:ptCount val="2"/>
                <c:pt idx="0">
                  <c:v>0</c:v>
                </c:pt>
                <c:pt idx="1">
                  <c:v>2</c:v>
                </c:pt>
              </c:numCache>
            </c:numRef>
          </c:val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Ismeretlen</c:v>
                </c:pt>
              </c:strCache>
            </c:strRef>
          </c:tx>
          <c:dLbls>
            <c:spPr>
              <a:gradFill rotWithShape="1">
                <a:gsLst>
                  <a:gs pos="0">
                    <a:schemeClr val="accent6">
                      <a:tint val="50000"/>
                      <a:satMod val="300000"/>
                    </a:schemeClr>
                  </a:gs>
                  <a:gs pos="35000">
                    <a:schemeClr val="accent6">
                      <a:tint val="37000"/>
                      <a:satMod val="300000"/>
                    </a:schemeClr>
                  </a:gs>
                  <a:gs pos="100000">
                    <a:schemeClr val="accent6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6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txPr>
              <a:bodyPr/>
              <a:lstStyle/>
              <a:p>
                <a:pPr>
                  <a:defRPr b="1"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hu-HU"/>
              </a:p>
            </c:txPr>
            <c:showVal val="1"/>
          </c:dLbls>
          <c:cat>
            <c:numRef>
              <c:f>Munka1!$A$2:$A$3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Munka1!$C$2:$C$3</c:f>
              <c:numCache>
                <c:formatCode>General</c:formatCode>
                <c:ptCount val="2"/>
                <c:pt idx="0">
                  <c:v>11</c:v>
                </c:pt>
                <c:pt idx="1">
                  <c:v>3</c:v>
                </c:pt>
              </c:numCache>
            </c:numRef>
          </c:val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Megállapított</c:v>
                </c:pt>
              </c:strCache>
            </c:strRef>
          </c:tx>
          <c:dLbls>
            <c:spPr>
              <a:gradFill rotWithShape="1">
                <a:gsLst>
                  <a:gs pos="0">
                    <a:schemeClr val="accent6">
                      <a:tint val="50000"/>
                      <a:satMod val="300000"/>
                    </a:schemeClr>
                  </a:gs>
                  <a:gs pos="35000">
                    <a:schemeClr val="accent6">
                      <a:tint val="37000"/>
                      <a:satMod val="300000"/>
                    </a:schemeClr>
                  </a:gs>
                  <a:gs pos="100000">
                    <a:schemeClr val="accent6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6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txPr>
              <a:bodyPr/>
              <a:lstStyle/>
              <a:p>
                <a:pPr>
                  <a:defRPr b="1"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hu-HU"/>
              </a:p>
            </c:txPr>
            <c:showVal val="1"/>
          </c:dLbls>
          <c:cat>
            <c:numRef>
              <c:f>Munka1!$A$2:$A$3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Munka1!$D$2:$D$3</c:f>
              <c:numCache>
                <c:formatCode>General</c:formatCode>
                <c:ptCount val="2"/>
                <c:pt idx="0">
                  <c:v>15</c:v>
                </c:pt>
                <c:pt idx="1">
                  <c:v>10</c:v>
                </c:pt>
              </c:numCache>
            </c:numRef>
          </c:val>
        </c:ser>
        <c:dLbls>
          <c:showVal val="1"/>
        </c:dLbls>
        <c:shape val="pyramid"/>
        <c:axId val="78435456"/>
        <c:axId val="78436992"/>
        <c:axId val="75834688"/>
      </c:bar3DChart>
      <c:catAx>
        <c:axId val="7843545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000" b="1" i="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78436992"/>
        <c:crosses val="autoZero"/>
        <c:auto val="1"/>
        <c:lblAlgn val="ctr"/>
        <c:lblOffset val="100"/>
      </c:catAx>
      <c:valAx>
        <c:axId val="7843699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78435456"/>
        <c:crosses val="autoZero"/>
        <c:crossBetween val="between"/>
      </c:valAx>
      <c:serAx>
        <c:axId val="75834688"/>
        <c:scaling>
          <c:orientation val="minMax"/>
        </c:scaling>
        <c:axPos val="b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78436992"/>
        <c:crosses val="autoZero"/>
      </c:serAx>
    </c:plotArea>
    <c:legend>
      <c:legendPos val="r"/>
      <c:txPr>
        <a:bodyPr/>
        <a:lstStyle/>
        <a:p>
          <a:pPr>
            <a:defRPr b="1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</c:chart>
  <c:spPr>
    <a:solidFill>
      <a:srgbClr val="FFFF00"/>
    </a:solidFill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hu-HU">
                <a:latin typeface="Times New Roman" pitchFamily="18" charset="0"/>
                <a:cs typeface="Times New Roman" pitchFamily="18" charset="0"/>
              </a:rPr>
              <a:t>Bírságok</a:t>
            </a:r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Munka1!$B$1</c:f>
              <c:strCache>
                <c:ptCount val="1"/>
                <c:pt idx="0">
                  <c:v>Bírságok összege (millió)</c:v>
                </c:pt>
              </c:strCache>
            </c:strRef>
          </c:tx>
          <c:dLbls>
            <c:spPr>
              <a:gradFill rotWithShape="1">
                <a:gsLst>
                  <a:gs pos="0">
                    <a:schemeClr val="accent3">
                      <a:tint val="50000"/>
                      <a:satMod val="300000"/>
                    </a:schemeClr>
                  </a:gs>
                  <a:gs pos="35000">
                    <a:schemeClr val="accent3">
                      <a:tint val="37000"/>
                      <a:satMod val="300000"/>
                    </a:schemeClr>
                  </a:gs>
                  <a:gs pos="100000">
                    <a:schemeClr val="accent3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3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txPr>
              <a:bodyPr/>
              <a:lstStyle/>
              <a:p>
                <a:pPr>
                  <a:defRPr sz="1200" b="1"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hu-HU"/>
              </a:p>
            </c:txPr>
            <c:showVal val="1"/>
          </c:dLbls>
          <c:cat>
            <c:numRef>
              <c:f>Munka1!$A$2:$A$3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Munka1!$B$2:$B$3</c:f>
              <c:numCache>
                <c:formatCode>General</c:formatCode>
                <c:ptCount val="2"/>
                <c:pt idx="0">
                  <c:v>3.04</c:v>
                </c:pt>
                <c:pt idx="1">
                  <c:v>3.75</c:v>
                </c:pt>
              </c:numCache>
            </c:numRef>
          </c:val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Bírságok darabszáma</c:v>
                </c:pt>
              </c:strCache>
            </c:strRef>
          </c:tx>
          <c:dLbls>
            <c:dLbl>
              <c:idx val="0"/>
              <c:spPr>
                <a:gradFill rotWithShape="1">
                  <a:gsLst>
                    <a:gs pos="0">
                      <a:schemeClr val="accent3">
                        <a:tint val="50000"/>
                        <a:satMod val="300000"/>
                      </a:schemeClr>
                    </a:gs>
                    <a:gs pos="35000">
                      <a:schemeClr val="accent3">
                        <a:tint val="37000"/>
                        <a:satMod val="300000"/>
                      </a:schemeClr>
                    </a:gs>
                    <a:gs pos="100000">
                      <a:schemeClr val="accent3">
                        <a:tint val="15000"/>
                        <a:satMod val="350000"/>
                      </a:schemeClr>
                    </a:gs>
                  </a:gsLst>
                  <a:lin ang="16200000" scaled="1"/>
                </a:gradFill>
                <a:ln w="9525" cap="flat" cmpd="sng" algn="ctr">
                  <a:solidFill>
                    <a:schemeClr val="accent3">
                      <a:shade val="95000"/>
                      <a:satMod val="105000"/>
                    </a:schemeClr>
                  </a:solidFill>
                  <a:prstDash val="solid"/>
                </a:ln>
                <a:effectLst>
                  <a:outerShdw blurRad="40000" dist="20000" dir="5400000" rotWithShape="0">
                    <a:srgbClr val="000000">
                      <a:alpha val="38000"/>
                    </a:srgbClr>
                  </a:outerShdw>
                </a:effectLst>
              </c:spPr>
              <c:txPr>
                <a:bodyPr/>
                <a:lstStyle/>
                <a:p>
                  <a:pPr>
                    <a:defRPr sz="1200" b="1">
                      <a:solidFill>
                        <a:schemeClr val="dk1"/>
                      </a:solidFill>
                      <a:latin typeface="Times New Roman" pitchFamily="18" charset="0"/>
                      <a:ea typeface="+mn-ea"/>
                      <a:cs typeface="Times New Roman" pitchFamily="18" charset="0"/>
                    </a:defRPr>
                  </a:pPr>
                  <a:endParaRPr lang="hu-HU"/>
                </a:p>
              </c:txPr>
            </c:dLbl>
            <c:dLbl>
              <c:idx val="1"/>
              <c:spPr>
                <a:gradFill rotWithShape="1">
                  <a:gsLst>
                    <a:gs pos="0">
                      <a:schemeClr val="accent3">
                        <a:tint val="50000"/>
                        <a:satMod val="300000"/>
                      </a:schemeClr>
                    </a:gs>
                    <a:gs pos="35000">
                      <a:schemeClr val="accent3">
                        <a:tint val="37000"/>
                        <a:satMod val="300000"/>
                      </a:schemeClr>
                    </a:gs>
                    <a:gs pos="100000">
                      <a:schemeClr val="accent3">
                        <a:tint val="15000"/>
                        <a:satMod val="350000"/>
                      </a:schemeClr>
                    </a:gs>
                  </a:gsLst>
                  <a:lin ang="16200000" scaled="1"/>
                </a:gradFill>
                <a:ln w="9525" cap="flat" cmpd="sng" algn="ctr">
                  <a:solidFill>
                    <a:schemeClr val="accent3">
                      <a:shade val="95000"/>
                      <a:satMod val="105000"/>
                    </a:schemeClr>
                  </a:solidFill>
                  <a:prstDash val="solid"/>
                </a:ln>
                <a:effectLst>
                  <a:outerShdw blurRad="40000" dist="20000" dir="5400000" rotWithShape="0">
                    <a:srgbClr val="000000">
                      <a:alpha val="38000"/>
                    </a:srgbClr>
                  </a:outerShdw>
                </a:effectLst>
              </c:spPr>
              <c:txPr>
                <a:bodyPr/>
                <a:lstStyle/>
                <a:p>
                  <a:pPr>
                    <a:defRPr sz="1200" b="1">
                      <a:solidFill>
                        <a:schemeClr val="dk1"/>
                      </a:solidFill>
                      <a:latin typeface="Times New Roman" pitchFamily="18" charset="0"/>
                      <a:ea typeface="+mn-ea"/>
                      <a:cs typeface="Times New Roman" pitchFamily="18" charset="0"/>
                    </a:defRPr>
                  </a:pPr>
                  <a:endParaRPr lang="hu-HU"/>
                </a:p>
              </c:txPr>
            </c:dLbl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showVal val="1"/>
          </c:dLbls>
          <c:cat>
            <c:numRef>
              <c:f>Munka1!$A$2:$A$3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Munka1!$C$2:$C$3</c:f>
              <c:numCache>
                <c:formatCode>General</c:formatCode>
                <c:ptCount val="2"/>
                <c:pt idx="0">
                  <c:v>18</c:v>
                </c:pt>
                <c:pt idx="1">
                  <c:v>49</c:v>
                </c:pt>
              </c:numCache>
            </c:numRef>
          </c:val>
        </c:ser>
        <c:dLbls>
          <c:showVal val="1"/>
        </c:dLbls>
        <c:shape val="box"/>
        <c:axId val="80324864"/>
        <c:axId val="80408576"/>
        <c:axId val="76719872"/>
      </c:bar3DChart>
      <c:catAx>
        <c:axId val="8032486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80408576"/>
        <c:crosses val="autoZero"/>
        <c:auto val="1"/>
        <c:lblAlgn val="ctr"/>
        <c:lblOffset val="100"/>
      </c:catAx>
      <c:valAx>
        <c:axId val="8040857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80324864"/>
        <c:crosses val="autoZero"/>
        <c:crossBetween val="between"/>
      </c:valAx>
      <c:serAx>
        <c:axId val="76719872"/>
        <c:scaling>
          <c:orientation val="minMax"/>
        </c:scaling>
        <c:axPos val="b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80408576"/>
        <c:crosses val="autoZero"/>
      </c:serAx>
      <c:spPr>
        <a:solidFill>
          <a:srgbClr val="FFFF00"/>
        </a:solidFill>
      </c:spPr>
    </c:plotArea>
    <c:legend>
      <c:legendPos val="r"/>
      <c:txPr>
        <a:bodyPr/>
        <a:lstStyle/>
        <a:p>
          <a:pPr>
            <a:defRPr b="1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</c:chart>
  <c:spPr>
    <a:solidFill>
      <a:srgbClr val="FFFF00"/>
    </a:solidFill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chart>
    <c:title/>
    <c:view3D>
      <c:rAngAx val="1"/>
    </c:view3D>
    <c:sideWall>
      <c:spPr>
        <a:solidFill>
          <a:srgbClr val="FFFF00"/>
        </a:solidFill>
      </c:spPr>
    </c:sideWall>
    <c:backWall>
      <c:spPr>
        <a:solidFill>
          <a:srgbClr val="FFFF00"/>
        </a:solidFill>
      </c:spPr>
    </c:backWall>
    <c:plotArea>
      <c:layout/>
      <c:bar3DChart>
        <c:barDir val="col"/>
        <c:grouping val="stacked"/>
        <c:ser>
          <c:idx val="0"/>
          <c:order val="0"/>
          <c:tx>
            <c:strRef>
              <c:f>Munka1!$B$1</c:f>
              <c:strCache>
                <c:ptCount val="1"/>
                <c:pt idx="0">
                  <c:v>Használatbavételi engedélyezési eljárás</c:v>
                </c:pt>
              </c:strCache>
            </c:strRef>
          </c:tx>
          <c:dLbls>
            <c:dLbl>
              <c:idx val="0"/>
              <c:layout>
                <c:manualLayout>
                  <c:x val="9.2592592592592778E-3"/>
                  <c:y val="-0.20238095238095247"/>
                </c:manualLayout>
              </c:layout>
              <c:showVal val="1"/>
            </c:dLbl>
            <c:dLbl>
              <c:idx val="1"/>
              <c:layout>
                <c:manualLayout>
                  <c:x val="1.1574074074074073E-2"/>
                  <c:y val="-0.37301618547681586"/>
                </c:manualLayout>
              </c:layout>
              <c:showVal val="1"/>
            </c:dLbl>
            <c:spPr>
              <a:solidFill>
                <a:srgbClr val="FFFF00"/>
              </a:solidFill>
            </c:spPr>
            <c:txPr>
              <a:bodyPr anchor="t" anchorCtr="0"/>
              <a:lstStyle/>
              <a:p>
                <a:pPr>
                  <a:defRPr b="1" i="1"/>
                </a:pPr>
                <a:endParaRPr lang="hu-HU"/>
              </a:p>
            </c:txPr>
            <c:showVal val="1"/>
          </c:dLbls>
          <c:cat>
            <c:strRef>
              <c:f>Munka1!$A$2:$A$3</c:f>
              <c:strCache>
                <c:ptCount val="2"/>
                <c:pt idx="0">
                  <c:v>2012.</c:v>
                </c:pt>
                <c:pt idx="1">
                  <c:v>2013.</c:v>
                </c:pt>
              </c:strCache>
            </c:strRef>
          </c:cat>
          <c:val>
            <c:numRef>
              <c:f>Munka1!$B$2:$B$3</c:f>
              <c:numCache>
                <c:formatCode>General</c:formatCode>
                <c:ptCount val="2"/>
                <c:pt idx="0">
                  <c:v>146</c:v>
                </c:pt>
                <c:pt idx="1">
                  <c:v>317</c:v>
                </c:pt>
              </c:numCache>
            </c:numRef>
          </c:val>
        </c:ser>
        <c:dLbls>
          <c:showVal val="1"/>
        </c:dLbls>
        <c:shape val="cylinder"/>
        <c:axId val="77469184"/>
        <c:axId val="77470720"/>
        <c:axId val="0"/>
      </c:bar3DChart>
      <c:catAx>
        <c:axId val="77469184"/>
        <c:scaling>
          <c:orientation val="minMax"/>
        </c:scaling>
        <c:axPos val="b"/>
        <c:tickLblPos val="nextTo"/>
        <c:crossAx val="77470720"/>
        <c:crosses val="autoZero"/>
        <c:auto val="1"/>
        <c:lblAlgn val="ctr"/>
        <c:lblOffset val="100"/>
      </c:catAx>
      <c:valAx>
        <c:axId val="77470720"/>
        <c:scaling>
          <c:orientation val="minMax"/>
        </c:scaling>
        <c:axPos val="l"/>
        <c:majorGridlines/>
        <c:numFmt formatCode="General" sourceLinked="1"/>
        <c:tickLblPos val="nextTo"/>
        <c:crossAx val="77469184"/>
        <c:crosses val="autoZero"/>
        <c:crossBetween val="between"/>
      </c:valAx>
    </c:plotArea>
    <c:legend>
      <c:legendPos val="r"/>
    </c:legend>
    <c:plotVisOnly val="1"/>
  </c:chart>
  <c:spPr>
    <a:solidFill>
      <a:srgbClr val="FFFF00"/>
    </a:solidFill>
  </c:spPr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ED4C10CBA904F8C8D0CF5ECFEFBB2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9BF9DC5-865E-4038-837D-6EF0C62D8907}"/>
      </w:docPartPr>
      <w:docPartBody>
        <w:p w:rsidR="00F034EE" w:rsidRDefault="006E2F08" w:rsidP="006E2F08">
          <w:pPr>
            <w:pStyle w:val="3ED4C10CBA904F8C8D0CF5ECFEFBB2A0"/>
          </w:pPr>
          <w:r>
            <w:rPr>
              <w:color w:val="FFFFFF" w:themeColor="background1"/>
              <w:sz w:val="28"/>
              <w:szCs w:val="28"/>
            </w:rPr>
            <w:t>[Ide írhatja a dokumentum címét]</w:t>
          </w:r>
        </w:p>
      </w:docPartBody>
    </w:docPart>
    <w:docPart>
      <w:docPartPr>
        <w:name w:val="25EF25050E1843BD953986F33521BAD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CC52D81-6C93-4C7B-8C80-D773B2860130}"/>
      </w:docPartPr>
      <w:docPartBody>
        <w:p w:rsidR="00F034EE" w:rsidRDefault="006E2F08" w:rsidP="006E2F08">
          <w:pPr>
            <w:pStyle w:val="25EF25050E1843BD953986F33521BADF"/>
          </w:pPr>
          <w:r>
            <w:rPr>
              <w:color w:val="FFFFFF" w:themeColor="background1"/>
              <w:sz w:val="36"/>
              <w:szCs w:val="36"/>
            </w:rPr>
            <w:t>[Év]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E2F08"/>
    <w:rsid w:val="00393673"/>
    <w:rsid w:val="00417CC7"/>
    <w:rsid w:val="00424EE3"/>
    <w:rsid w:val="006E2F08"/>
    <w:rsid w:val="00921414"/>
    <w:rsid w:val="00F03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34E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3ED4C10CBA904F8C8D0CF5ECFEFBB2A0">
    <w:name w:val="3ED4C10CBA904F8C8D0CF5ECFEFBB2A0"/>
    <w:rsid w:val="006E2F08"/>
  </w:style>
  <w:style w:type="paragraph" w:customStyle="1" w:styleId="25EF25050E1843BD953986F33521BADF">
    <w:name w:val="25EF25050E1843BD953986F33521BADF"/>
    <w:rsid w:val="006E2F0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2013-11-30T00:00:00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31A14BE-EB36-4616-AAC7-964F25215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Hatósági szakterület 2. számú melléklete</vt:lpstr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Hatósági szakterület 2. számú melléklete</dc:title>
  <dc:creator>Ördög István</dc:creator>
  <cp:lastModifiedBy>istvan.ordog</cp:lastModifiedBy>
  <cp:revision>3</cp:revision>
  <cp:lastPrinted>1601-01-01T00:00:00Z</cp:lastPrinted>
  <dcterms:created xsi:type="dcterms:W3CDTF">2014-01-10T09:32:00Z</dcterms:created>
  <dcterms:modified xsi:type="dcterms:W3CDTF">2014-01-27T13:35:00Z</dcterms:modified>
</cp:coreProperties>
</file>