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glossary/document.xml" ContentType="application/vnd.openxmlformats-officedocument.wordprocessingml.document.glossary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EB" w:rsidRPr="00F7712B" w:rsidRDefault="004662A6" w:rsidP="006B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62A6">
        <w:rPr>
          <w:noProof/>
          <w:lang w:eastAsia="hu-HU"/>
        </w:rPr>
        <w:drawing>
          <wp:inline distT="0" distB="0" distL="0" distR="0">
            <wp:extent cx="5486400" cy="4086225"/>
            <wp:effectExtent l="19050" t="0" r="19050" b="0"/>
            <wp:docPr id="7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43380" w:rsidRPr="00F7712B" w:rsidRDefault="00280CE5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5C98" w:rsidRPr="00F7712B">
        <w:rPr>
          <w:rFonts w:ascii="Times New Roman" w:hAnsi="Times New Roman" w:cs="Times New Roman"/>
          <w:sz w:val="24"/>
          <w:szCs w:val="24"/>
        </w:rPr>
        <w:t>. számú diagram Szegedi HTP esetszámai</w:t>
      </w:r>
    </w:p>
    <w:p w:rsidR="00343380" w:rsidRPr="00F7712B" w:rsidRDefault="00C02D89" w:rsidP="006B5C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12B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486400" cy="4086225"/>
            <wp:effectExtent l="1905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5C98" w:rsidRPr="00F7712B" w:rsidRDefault="00280CE5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B5C98" w:rsidRPr="00F7712B">
        <w:rPr>
          <w:rFonts w:ascii="Times New Roman" w:hAnsi="Times New Roman" w:cs="Times New Roman"/>
          <w:sz w:val="24"/>
          <w:szCs w:val="24"/>
        </w:rPr>
        <w:t>. számú diagram Makói HTP esetszámai</w:t>
      </w:r>
    </w:p>
    <w:p w:rsidR="00E95C1C" w:rsidRPr="00F7712B" w:rsidRDefault="004662A6" w:rsidP="004719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62A6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486400" cy="4086225"/>
            <wp:effectExtent l="19050" t="0" r="19050" b="0"/>
            <wp:docPr id="8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7134" w:rsidRPr="00F7712B" w:rsidRDefault="00280CE5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B2D40" w:rsidRPr="00F7712B">
        <w:rPr>
          <w:rFonts w:ascii="Times New Roman" w:hAnsi="Times New Roman" w:cs="Times New Roman"/>
          <w:sz w:val="24"/>
          <w:szCs w:val="24"/>
        </w:rPr>
        <w:t xml:space="preserve">. számú diagram </w:t>
      </w:r>
      <w:r w:rsidR="009B2D40">
        <w:rPr>
          <w:rFonts w:ascii="Times New Roman" w:hAnsi="Times New Roman" w:cs="Times New Roman"/>
          <w:sz w:val="24"/>
          <w:szCs w:val="24"/>
        </w:rPr>
        <w:t>tűzesetek megoszlása Szegedi HTP</w:t>
      </w:r>
    </w:p>
    <w:p w:rsidR="00CD7134" w:rsidRPr="00F7712B" w:rsidRDefault="00CD7134" w:rsidP="004719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12B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486400" cy="4086225"/>
            <wp:effectExtent l="19050" t="0" r="19050" b="0"/>
            <wp:docPr id="4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71919" w:rsidRPr="00F7712B" w:rsidRDefault="00280CE5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735F0" w:rsidRPr="00F7712B">
        <w:rPr>
          <w:rFonts w:ascii="Times New Roman" w:hAnsi="Times New Roman" w:cs="Times New Roman"/>
          <w:sz w:val="24"/>
          <w:szCs w:val="24"/>
        </w:rPr>
        <w:t xml:space="preserve">. számú diagram </w:t>
      </w:r>
      <w:r w:rsidR="00C735F0">
        <w:rPr>
          <w:rFonts w:ascii="Times New Roman" w:hAnsi="Times New Roman" w:cs="Times New Roman"/>
          <w:sz w:val="24"/>
          <w:szCs w:val="24"/>
        </w:rPr>
        <w:t>tűzesetek megoszlása Makói HTP</w:t>
      </w:r>
    </w:p>
    <w:p w:rsidR="00F34AF7" w:rsidRPr="00F7712B" w:rsidRDefault="004662A6" w:rsidP="004719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62A6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486400" cy="4086225"/>
            <wp:effectExtent l="19050" t="0" r="19050" b="0"/>
            <wp:docPr id="9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16FF8" w:rsidRPr="00F7712B" w:rsidRDefault="00280CE5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15ADA" w:rsidRPr="00F7712B">
        <w:rPr>
          <w:rFonts w:ascii="Times New Roman" w:hAnsi="Times New Roman" w:cs="Times New Roman"/>
          <w:sz w:val="24"/>
          <w:szCs w:val="24"/>
        </w:rPr>
        <w:t xml:space="preserve">. számú diagram </w:t>
      </w:r>
      <w:r w:rsidR="00315ADA">
        <w:rPr>
          <w:rFonts w:ascii="Times New Roman" w:hAnsi="Times New Roman" w:cs="Times New Roman"/>
          <w:sz w:val="24"/>
          <w:szCs w:val="24"/>
        </w:rPr>
        <w:t>műszaki mentések megoszlása Szegedi HTP</w:t>
      </w:r>
    </w:p>
    <w:p w:rsidR="00416FF8" w:rsidRPr="00F7712B" w:rsidRDefault="00902FF1" w:rsidP="004719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12B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486400" cy="4086225"/>
            <wp:effectExtent l="19050" t="0" r="19050" b="0"/>
            <wp:docPr id="6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B5C98" w:rsidRDefault="00280CE5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10741" w:rsidRPr="00F7712B">
        <w:rPr>
          <w:rFonts w:ascii="Times New Roman" w:hAnsi="Times New Roman" w:cs="Times New Roman"/>
          <w:sz w:val="24"/>
          <w:szCs w:val="24"/>
        </w:rPr>
        <w:t xml:space="preserve">. számú diagram </w:t>
      </w:r>
      <w:r w:rsidR="00310741">
        <w:rPr>
          <w:rFonts w:ascii="Times New Roman" w:hAnsi="Times New Roman" w:cs="Times New Roman"/>
          <w:sz w:val="24"/>
          <w:szCs w:val="24"/>
        </w:rPr>
        <w:t>műszaki mentések megoszlása Makói HTP</w:t>
      </w:r>
    </w:p>
    <w:p w:rsidR="00F17A0D" w:rsidRDefault="00485213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F17A0D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486400" cy="4086225"/>
            <wp:effectExtent l="57150" t="19050" r="38100" b="0"/>
            <wp:docPr id="3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85213" w:rsidRDefault="00485213" w:rsidP="00485213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7- 8</w:t>
      </w:r>
      <w:r w:rsidRPr="00F7712B">
        <w:rPr>
          <w:rFonts w:ascii="Times New Roman" w:hAnsi="Times New Roman" w:cs="Times New Roman"/>
          <w:sz w:val="24"/>
          <w:szCs w:val="24"/>
        </w:rPr>
        <w:t xml:space="preserve">. számú diagram </w:t>
      </w:r>
      <w:r>
        <w:rPr>
          <w:rFonts w:ascii="Times New Roman" w:hAnsi="Times New Roman" w:cs="Times New Roman"/>
          <w:sz w:val="24"/>
          <w:szCs w:val="24"/>
        </w:rPr>
        <w:t xml:space="preserve">Önkéntes Tűzoltó Egyesületek és LTP </w:t>
      </w:r>
      <w:proofErr w:type="spellStart"/>
      <w:r>
        <w:rPr>
          <w:rFonts w:ascii="Times New Roman" w:hAnsi="Times New Roman" w:cs="Times New Roman"/>
          <w:sz w:val="24"/>
          <w:szCs w:val="24"/>
        </w:rPr>
        <w:t>-k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részvétele a beavatkozásokban</w:t>
      </w:r>
    </w:p>
    <w:p w:rsidR="00485213" w:rsidRDefault="00485213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485213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486400" cy="4086225"/>
            <wp:effectExtent l="57150" t="19050" r="38100" b="0"/>
            <wp:docPr id="5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243CF" w:rsidRDefault="002243CF" w:rsidP="00280CE5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2243CF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486400" cy="9067800"/>
            <wp:effectExtent l="19050" t="0" r="19050" b="0"/>
            <wp:docPr id="10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sectPr w:rsidR="002243CF" w:rsidSect="006B5C98">
      <w:headerReference w:type="default" r:id="rId1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7F9" w:rsidRDefault="007947F9" w:rsidP="00280CE5">
      <w:pPr>
        <w:spacing w:after="0" w:line="240" w:lineRule="auto"/>
      </w:pPr>
      <w:r>
        <w:separator/>
      </w:r>
    </w:p>
  </w:endnote>
  <w:endnote w:type="continuationSeparator" w:id="0">
    <w:p w:rsidR="007947F9" w:rsidRDefault="007947F9" w:rsidP="0028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7F9" w:rsidRDefault="007947F9" w:rsidP="00280CE5">
      <w:pPr>
        <w:spacing w:after="0" w:line="240" w:lineRule="auto"/>
      </w:pPr>
      <w:r>
        <w:separator/>
      </w:r>
    </w:p>
  </w:footnote>
  <w:footnote w:type="continuationSeparator" w:id="0">
    <w:p w:rsidR="007947F9" w:rsidRDefault="007947F9" w:rsidP="0028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CE5" w:rsidRPr="00280CE5" w:rsidRDefault="00BB0359" w:rsidP="00280CE5">
    <w:pPr>
      <w:pStyle w:val="lfej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zh-TW"/>
      </w:rPr>
      <w:pict>
        <v:group id="_x0000_s7169" style="position:absolute;left:0;text-align:left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7170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7170">
              <w:txbxContent>
                <w:sdt>
                  <w:sdtPr>
                    <w:rPr>
                      <w:rFonts w:ascii="Calibri" w:eastAsia="+mn-ea" w:hAnsi="Calibri" w:cs="+mn-cs"/>
                      <w:b/>
                      <w:bCs/>
                      <w:color w:val="000000"/>
                      <w:lang w:eastAsia="hu-HU"/>
                    </w:rPr>
                    <w:alias w:val="Cím"/>
                    <w:id w:val="538682326"/>
                    <w:placeholder>
                      <w:docPart w:val="56A8666B5A4448909C987500639F55D0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6D7843" w:rsidRDefault="006D7843">
                      <w:pPr>
                        <w:pStyle w:val="lfej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lang w:eastAsia="hu-HU"/>
                        </w:rPr>
                        <w:t>Mentőtűzvédelmi</w:t>
                      </w:r>
                      <w:proofErr w:type="spellEnd"/>
                      <w:r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lang w:eastAsia="hu-HU"/>
                        </w:rPr>
                        <w:t xml:space="preserve"> szakterület 1</w:t>
                      </w:r>
                      <w:r w:rsidRPr="006D7843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lang w:eastAsia="hu-HU"/>
                        </w:rPr>
                        <w:t>. számú melléklet</w:t>
                      </w:r>
                    </w:p>
                  </w:sdtContent>
                </w:sdt>
              </w:txbxContent>
            </v:textbox>
          </v:rect>
          <v:rect id="_x0000_s7171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7171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Év"/>
                    <w:id w:val="78709920"/>
                    <w:placeholder>
                      <w:docPart w:val="70FBB1E7CA7648A29F2B0CE51B053EDA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13-11-30T00:00:00Z">
                      <w:dateFormat w:val="yyyy."/>
                      <w:lid w:val="hu-HU"/>
                      <w:storeMappedDataAs w:val="dateTime"/>
                      <w:calendar w:val="gregorian"/>
                    </w:date>
                  </w:sdtPr>
                  <w:sdtContent>
                    <w:p w:rsidR="006D7843" w:rsidRDefault="006D7843">
                      <w:pPr>
                        <w:pStyle w:val="lfej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2013.</w:t>
                      </w:r>
                    </w:p>
                  </w:sdtContent>
                </w:sdt>
              </w:txbxContent>
            </v:textbox>
          </v:rect>
          <v:rect id="_x0000_s7172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FF1648"/>
    <w:rsid w:val="00043CB9"/>
    <w:rsid w:val="00092FB3"/>
    <w:rsid w:val="00213B60"/>
    <w:rsid w:val="002243CF"/>
    <w:rsid w:val="00280CE5"/>
    <w:rsid w:val="002C4C0F"/>
    <w:rsid w:val="002E0056"/>
    <w:rsid w:val="00307CC0"/>
    <w:rsid w:val="00310741"/>
    <w:rsid w:val="00315ADA"/>
    <w:rsid w:val="00336932"/>
    <w:rsid w:val="00343380"/>
    <w:rsid w:val="003B266E"/>
    <w:rsid w:val="00416FF8"/>
    <w:rsid w:val="0043667D"/>
    <w:rsid w:val="004662A6"/>
    <w:rsid w:val="00471919"/>
    <w:rsid w:val="00485213"/>
    <w:rsid w:val="004F622E"/>
    <w:rsid w:val="00523840"/>
    <w:rsid w:val="00572646"/>
    <w:rsid w:val="005A4992"/>
    <w:rsid w:val="00651F87"/>
    <w:rsid w:val="00670BEC"/>
    <w:rsid w:val="006756E3"/>
    <w:rsid w:val="006A58EB"/>
    <w:rsid w:val="006B5C98"/>
    <w:rsid w:val="006C2BEB"/>
    <w:rsid w:val="006D7843"/>
    <w:rsid w:val="00734962"/>
    <w:rsid w:val="0076000B"/>
    <w:rsid w:val="0078287D"/>
    <w:rsid w:val="007947F9"/>
    <w:rsid w:val="007B07EB"/>
    <w:rsid w:val="008A359C"/>
    <w:rsid w:val="008D1C73"/>
    <w:rsid w:val="00902FF1"/>
    <w:rsid w:val="009B2D40"/>
    <w:rsid w:val="00A0678D"/>
    <w:rsid w:val="00A07E49"/>
    <w:rsid w:val="00A85980"/>
    <w:rsid w:val="00AA2935"/>
    <w:rsid w:val="00AA404D"/>
    <w:rsid w:val="00AC02D6"/>
    <w:rsid w:val="00AD5589"/>
    <w:rsid w:val="00AD5891"/>
    <w:rsid w:val="00AE4FD4"/>
    <w:rsid w:val="00BB0359"/>
    <w:rsid w:val="00BD5FEC"/>
    <w:rsid w:val="00C02D89"/>
    <w:rsid w:val="00C33373"/>
    <w:rsid w:val="00C735F0"/>
    <w:rsid w:val="00CD7134"/>
    <w:rsid w:val="00D17430"/>
    <w:rsid w:val="00E0703B"/>
    <w:rsid w:val="00E24971"/>
    <w:rsid w:val="00E31A3A"/>
    <w:rsid w:val="00E95C1C"/>
    <w:rsid w:val="00EB7B07"/>
    <w:rsid w:val="00EC2164"/>
    <w:rsid w:val="00ED22AE"/>
    <w:rsid w:val="00F17A0D"/>
    <w:rsid w:val="00F34AF7"/>
    <w:rsid w:val="00F6673F"/>
    <w:rsid w:val="00F7712B"/>
    <w:rsid w:val="00FD0A3A"/>
    <w:rsid w:val="00FD5F97"/>
    <w:rsid w:val="00FF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2B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0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7CC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80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0CE5"/>
  </w:style>
  <w:style w:type="paragraph" w:styleId="llb">
    <w:name w:val="footer"/>
    <w:basedOn w:val="Norml"/>
    <w:link w:val="llbChar"/>
    <w:uiPriority w:val="99"/>
    <w:semiHidden/>
    <w:unhideWhenUsed/>
    <w:rsid w:val="00280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80C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munkalap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munkalap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/>
    <c:view3D>
      <c:rotX val="30"/>
      <c:rotY val="40"/>
      <c:perspective val="30"/>
    </c:view3D>
    <c:plotArea>
      <c:layout>
        <c:manualLayout>
          <c:layoutTarget val="inner"/>
          <c:xMode val="edge"/>
          <c:yMode val="edge"/>
          <c:x val="6.4814814814815186E-2"/>
          <c:y val="0.18694149245330494"/>
          <c:w val="0.82407407407407784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Szegedi HTP esetszámai: 994</c:v>
                </c:pt>
              </c:strCache>
            </c:strRef>
          </c:tx>
          <c:explosion val="16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-5.4836140274132403E-2"/>
                  <c:y val="0.14126999859283368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3.7218576844561098E-2"/>
                  <c:y val="-0.27930742922868956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-0.24713209025955088"/>
                  <c:y val="-6.0966540021658133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0.14208388013998249"/>
                  <c:y val="8.9802935472227244E-2"/>
                </c:manualLayout>
              </c:layout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Munka1!$A$2:$A$6</c:f>
              <c:strCache>
                <c:ptCount val="5"/>
                <c:pt idx="0">
                  <c:v>tűzeset</c:v>
                </c:pt>
                <c:pt idx="1">
                  <c:v>műszaki mentés</c:v>
                </c:pt>
                <c:pt idx="2">
                  <c:v>téves jelzés</c:v>
                </c:pt>
                <c:pt idx="3">
                  <c:v>szándékosan megtévesztő jelzés</c:v>
                </c:pt>
                <c:pt idx="4">
                  <c:v>vonulást nem igénylő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484</c:v>
                </c:pt>
                <c:pt idx="1">
                  <c:v>510</c:v>
                </c:pt>
                <c:pt idx="2">
                  <c:v>79</c:v>
                </c:pt>
                <c:pt idx="3">
                  <c:v>4</c:v>
                </c:pt>
                <c:pt idx="4">
                  <c:v>47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/>
    <c:view3D>
      <c:rotX val="30"/>
      <c:rotY val="40"/>
      <c:perspective val="30"/>
    </c:view3D>
    <c:plotArea>
      <c:layout>
        <c:manualLayout>
          <c:layoutTarget val="inner"/>
          <c:xMode val="edge"/>
          <c:yMode val="edge"/>
          <c:x val="8.101851851851849E-2"/>
          <c:y val="0.16829347380528534"/>
          <c:w val="0.8240740740740774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Makói HTP esetszámai: 230</c:v>
                </c:pt>
              </c:strCache>
            </c:strRef>
          </c:tx>
          <c:explosion val="16"/>
          <c:dPt>
            <c:idx val="0"/>
            <c:spPr>
              <a:solidFill>
                <a:srgbClr val="FF0000"/>
              </a:solidFill>
            </c:spPr>
          </c:dPt>
          <c:dPt>
            <c:idx val="1"/>
            <c:explosion val="13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-7.5669473607465731E-2"/>
                  <c:y val="0.11329797062080527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3.7218576844561098E-2"/>
                  <c:y val="-0.2917396863853558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-0.24713209025955088"/>
                  <c:y val="-6.0966540021658133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0.14208388013998249"/>
                  <c:y val="8.9802935472227063E-2"/>
                </c:manualLayout>
              </c:layout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Munka1!$A$2:$A$7</c:f>
              <c:strCache>
                <c:ptCount val="6"/>
                <c:pt idx="0">
                  <c:v>tűzeset</c:v>
                </c:pt>
                <c:pt idx="1">
                  <c:v>műszaki mentés</c:v>
                </c:pt>
                <c:pt idx="2">
                  <c:v>téves jelzés</c:v>
                </c:pt>
                <c:pt idx="3">
                  <c:v>szándékosan megtévesztő jelzés</c:v>
                </c:pt>
                <c:pt idx="4">
                  <c:v>vonulást nem igénylő</c:v>
                </c:pt>
                <c:pt idx="5">
                  <c:v>Segítségnyújtás</c:v>
                </c:pt>
              </c:strCache>
            </c:strRef>
          </c:cat>
          <c:val>
            <c:numRef>
              <c:f>Munka1!$B$2:$B$7</c:f>
              <c:numCache>
                <c:formatCode>General</c:formatCode>
                <c:ptCount val="6"/>
                <c:pt idx="0">
                  <c:v>129</c:v>
                </c:pt>
                <c:pt idx="1">
                  <c:v>101</c:v>
                </c:pt>
                <c:pt idx="2">
                  <c:v>32</c:v>
                </c:pt>
                <c:pt idx="3">
                  <c:v>1</c:v>
                </c:pt>
                <c:pt idx="4">
                  <c:v>11</c:v>
                </c:pt>
                <c:pt idx="5">
                  <c:v>8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>
      <c:layout>
        <c:manualLayout>
          <c:xMode val="edge"/>
          <c:yMode val="edge"/>
          <c:x val="0.20118055555555517"/>
          <c:y val="2.1756021756021753E-2"/>
        </c:manualLayout>
      </c:layout>
    </c:title>
    <c:view3D>
      <c:rotX val="30"/>
      <c:rotY val="250"/>
      <c:perspective val="30"/>
    </c:view3D>
    <c:plotArea>
      <c:layout>
        <c:manualLayout>
          <c:layoutTarget val="inner"/>
          <c:xMode val="edge"/>
          <c:yMode val="edge"/>
          <c:x val="6.25E-2"/>
          <c:y val="0.10302540853722011"/>
          <c:w val="0.82407407407407862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Tűzesetek megoszlása Szegedi HTP</c:v>
                </c:pt>
              </c:strCache>
            </c:strRef>
          </c:tx>
          <c:explosion val="16"/>
          <c:dPt>
            <c:idx val="0"/>
            <c:spPr>
              <a:solidFill>
                <a:srgbClr val="FF0000"/>
              </a:solidFill>
            </c:spPr>
          </c:dPt>
          <c:dPt>
            <c:idx val="1"/>
            <c:explosion val="13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-1.7613371245261106E-2"/>
                  <c:y val="-1.7453028161689577E-2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-0.1641703120443278"/>
                  <c:y val="-9.4751023254960279E-2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4.8611111111111112E-2"/>
                  <c:y val="-0.19150267055778866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3.1822688830562836E-2"/>
                  <c:y val="-7.0419519238416994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7.6341498979294251E-2"/>
                  <c:y val="2.2341892578113313E-2"/>
                </c:manualLayout>
              </c:layout>
              <c:dLblPos val="bestFit"/>
              <c:showVal val="1"/>
              <c:showCatName val="1"/>
            </c:dLbl>
            <c:dLbl>
              <c:idx val="5"/>
              <c:layout>
                <c:manualLayout>
                  <c:x val="1.6517206182560515E-2"/>
                  <c:y val="0.1526565473022167"/>
                </c:manualLayout>
              </c:layout>
              <c:dLblPos val="bestFit"/>
              <c:showVal val="1"/>
              <c:showCatName val="1"/>
            </c:dLbl>
            <c:dLbl>
              <c:idx val="6"/>
              <c:layout>
                <c:manualLayout>
                  <c:x val="-0.12921132254301546"/>
                  <c:y val="5.9052059052059104E-3"/>
                </c:manualLayout>
              </c:layout>
              <c:tx>
                <c:rich>
                  <a:bodyPr/>
                  <a:lstStyle/>
                  <a:p>
                    <a:r>
                      <a:rPr lang="hu-HU"/>
                      <a:t>egyéb </a:t>
                    </a:r>
                    <a:r>
                      <a:rPr lang="hu-HU" sz="1000" baseline="0"/>
                      <a:t>(szálloda, egészségügy, művelődés, oktatás, kereskedelem)</a:t>
                    </a:r>
                    <a:r>
                      <a:rPr lang="hu-HU"/>
                      <a:t>
4%</a:t>
                    </a:r>
                  </a:p>
                </c:rich>
              </c:tx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Munka1!$A$2:$A$19</c:f>
              <c:strCache>
                <c:ptCount val="9"/>
                <c:pt idx="0">
                  <c:v>Otthon jellegű létesítmény</c:v>
                </c:pt>
                <c:pt idx="1">
                  <c:v>Tűzeset szabad területen</c:v>
                </c:pt>
                <c:pt idx="2">
                  <c:v>Közlekedési eszköz</c:v>
                </c:pt>
                <c:pt idx="3">
                  <c:v>Tárolási létesítmény</c:v>
                </c:pt>
                <c:pt idx="4">
                  <c:v>Ipari, termelési létesítmény</c:v>
                </c:pt>
                <c:pt idx="5">
                  <c:v>Kereskedelmi, szolgáltató létesítmény</c:v>
                </c:pt>
                <c:pt idx="6">
                  <c:v>Közút </c:v>
                </c:pt>
                <c:pt idx="7">
                  <c:v>Közterület</c:v>
                </c:pt>
                <c:pt idx="8">
                  <c:v>Egyéb (Közlekedési létesítmény, Művelődési létesítmény, Igazgatási, iroda létesítmény,Mezőgazdasági létesítmény, Nevelési-, oktatási létesítmény, Vendéglátó létesítmény, Egészségügyi, szociális létesítmény)</c:v>
                </c:pt>
              </c:strCache>
            </c:strRef>
          </c:cat>
          <c:val>
            <c:numRef>
              <c:f>Munka1!$B$2:$B$19</c:f>
              <c:numCache>
                <c:formatCode>General</c:formatCode>
                <c:ptCount val="18"/>
                <c:pt idx="0">
                  <c:v>107</c:v>
                </c:pt>
                <c:pt idx="1">
                  <c:v>135</c:v>
                </c:pt>
                <c:pt idx="2">
                  <c:v>18</c:v>
                </c:pt>
                <c:pt idx="3">
                  <c:v>12</c:v>
                </c:pt>
                <c:pt idx="4">
                  <c:v>8</c:v>
                </c:pt>
                <c:pt idx="5">
                  <c:v>8</c:v>
                </c:pt>
                <c:pt idx="6">
                  <c:v>14</c:v>
                </c:pt>
                <c:pt idx="7">
                  <c:v>31</c:v>
                </c:pt>
                <c:pt idx="8">
                  <c:v>38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>
      <c:layout>
        <c:manualLayout>
          <c:xMode val="edge"/>
          <c:yMode val="edge"/>
          <c:x val="0.20118055555555517"/>
          <c:y val="2.1756021756021753E-2"/>
        </c:manualLayout>
      </c:layout>
    </c:title>
    <c:view3D>
      <c:rotX val="30"/>
      <c:rotY val="50"/>
      <c:perspective val="30"/>
    </c:view3D>
    <c:plotArea>
      <c:layout>
        <c:manualLayout>
          <c:layoutTarget val="inner"/>
          <c:xMode val="edge"/>
          <c:yMode val="edge"/>
          <c:x val="9.7222222222222224E-2"/>
          <c:y val="0.27707358258539361"/>
          <c:w val="0.82407407407407796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Tűzesetek megoszlása Makói HTP</c:v>
                </c:pt>
              </c:strCache>
            </c:strRef>
          </c:tx>
          <c:explosion val="16"/>
          <c:dPt>
            <c:idx val="0"/>
            <c:spPr>
              <a:solidFill>
                <a:srgbClr val="FF0000"/>
              </a:solidFill>
            </c:spPr>
          </c:dPt>
          <c:dPt>
            <c:idx val="1"/>
            <c:explosion val="13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-5.2335775736366323E-2"/>
                  <c:y val="0.26537525466659329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1.8518518518518535E-2"/>
                  <c:y val="0.3123971391687928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-0.18981481481481491"/>
                  <c:y val="-0.11069458974970786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0.13598917322834642"/>
                  <c:y val="5.3967414912296903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7.6341498979294251E-2"/>
                  <c:y val="2.2341892578113282E-2"/>
                </c:manualLayout>
              </c:layout>
              <c:dLblPos val="bestFit"/>
              <c:showVal val="1"/>
              <c:showCatName val="1"/>
            </c:dLbl>
            <c:dLbl>
              <c:idx val="5"/>
              <c:layout>
                <c:manualLayout>
                  <c:x val="1.6517206182560515E-2"/>
                  <c:y val="0.1526565473022167"/>
                </c:manualLayout>
              </c:layout>
              <c:dLblPos val="bestFit"/>
              <c:showVal val="1"/>
              <c:showCatName val="1"/>
            </c:dLbl>
            <c:dLbl>
              <c:idx val="6"/>
              <c:layout>
                <c:manualLayout>
                  <c:x val="-0.12921132254301546"/>
                  <c:y val="5.9052059052059104E-3"/>
                </c:manualLayout>
              </c:layout>
              <c:tx>
                <c:rich>
                  <a:bodyPr/>
                  <a:lstStyle/>
                  <a:p>
                    <a:r>
                      <a:rPr lang="hu-HU"/>
                      <a:t>egyéb </a:t>
                    </a:r>
                    <a:r>
                      <a:rPr lang="hu-HU" sz="1000" baseline="0"/>
                      <a:t>(szálloda, egészségügy, művelődés, oktatás, kereskedelem)</a:t>
                    </a:r>
                    <a:r>
                      <a:rPr lang="hu-HU"/>
                      <a:t>
4%</a:t>
                    </a:r>
                  </a:p>
                </c:rich>
              </c:tx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Munka1!$A$2:$A$6</c:f>
              <c:strCache>
                <c:ptCount val="5"/>
                <c:pt idx="0">
                  <c:v>Beavatkozást igénylő</c:v>
                </c:pt>
                <c:pt idx="1">
                  <c:v>Kiérkezés előtt felszámolt</c:v>
                </c:pt>
                <c:pt idx="2">
                  <c:v>Szándékosan megtévesztő jelzés</c:v>
                </c:pt>
                <c:pt idx="3">
                  <c:v>Téves jelzés</c:v>
                </c:pt>
                <c:pt idx="4">
                  <c:v>Utólagos jelzés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77</c:v>
                </c:pt>
                <c:pt idx="1">
                  <c:v>11</c:v>
                </c:pt>
                <c:pt idx="2">
                  <c:v>1</c:v>
                </c:pt>
                <c:pt idx="3">
                  <c:v>29</c:v>
                </c:pt>
                <c:pt idx="4">
                  <c:v>11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>
      <c:layout>
        <c:manualLayout>
          <c:xMode val="edge"/>
          <c:yMode val="edge"/>
          <c:x val="0.10164351851851852"/>
          <c:y val="2.797202797202808E-2"/>
        </c:manualLayout>
      </c:layout>
    </c:title>
    <c:view3D>
      <c:rotX val="30"/>
      <c:rotY val="160"/>
      <c:perspective val="30"/>
    </c:view3D>
    <c:plotArea>
      <c:layout>
        <c:manualLayout>
          <c:layoutTarget val="inner"/>
          <c:xMode val="edge"/>
          <c:yMode val="edge"/>
          <c:x val="1.8518518518518583E-2"/>
          <c:y val="0.20869751420932522"/>
          <c:w val="0.82407407407407907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Műszaki mentések megoszlása Szegedi HTP</c:v>
                </c:pt>
              </c:strCache>
            </c:strRef>
          </c:tx>
          <c:explosion val="16"/>
          <c:dPt>
            <c:idx val="0"/>
            <c:spPr>
              <a:solidFill>
                <a:srgbClr val="FF0000"/>
              </a:solidFill>
            </c:spPr>
          </c:dPt>
          <c:dPt>
            <c:idx val="1"/>
            <c:explosion val="13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3.7037037037037056E-2"/>
                  <c:y val="0.14727113656247651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-0.33546660834062708"/>
                  <c:y val="4.2001113497176487E-2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7.1759259259259259E-2"/>
                  <c:y val="-2.2031826441275461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-3.5572688830562839E-2"/>
                  <c:y val="-0.11703956585846351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5.5032443861184124E-3"/>
                  <c:y val="-3.0494404982593981E-2"/>
                </c:manualLayout>
              </c:layout>
              <c:dLblPos val="bestFit"/>
              <c:showVal val="1"/>
              <c:showCatName val="1"/>
            </c:dLbl>
            <c:dLbl>
              <c:idx val="5"/>
              <c:layout>
                <c:manualLayout>
                  <c:x val="1.1697652376786235E-2"/>
                  <c:y val="-3.6931642285973273E-2"/>
                </c:manualLayout>
              </c:layout>
              <c:dLblPos val="bestFit"/>
              <c:showVal val="1"/>
              <c:showCatName val="1"/>
            </c:dLbl>
            <c:dLbl>
              <c:idx val="6"/>
              <c:layout>
                <c:manualLayout>
                  <c:x val="2.7331219014290094E-3"/>
                  <c:y val="1.2121212121212118E-2"/>
                </c:manualLayout>
              </c:layout>
              <c:tx>
                <c:rich>
                  <a:bodyPr/>
                  <a:lstStyle/>
                  <a:p>
                    <a:r>
                      <a:rPr lang="hu-HU"/>
                      <a:t>egyéb </a:t>
                    </a:r>
                    <a:r>
                      <a:rPr lang="hu-HU" sz="1000" baseline="0"/>
                      <a:t>(szálloda, egészségügy, művelődés, oktatás, kereskedelem)</a:t>
                    </a:r>
                    <a:r>
                      <a:rPr lang="hu-HU"/>
                      <a:t>
4%</a:t>
                    </a:r>
                  </a:p>
                </c:rich>
              </c:tx>
              <c:dLblPos val="bestFit"/>
              <c:showVal val="1"/>
              <c:showCatName val="1"/>
            </c:dLbl>
            <c:dLbl>
              <c:idx val="7"/>
              <c:layout>
                <c:manualLayout>
                  <c:x val="1.8976469087197481E-2"/>
                  <c:y val="5.0193271295633862E-2"/>
                </c:manualLayout>
              </c:layout>
              <c:dLblPos val="bestFit"/>
              <c:showVal val="1"/>
              <c:showCatName val="1"/>
            </c:dLbl>
            <c:dLbl>
              <c:idx val="8"/>
              <c:layout>
                <c:manualLayout>
                  <c:x val="-8.2312354184893563E-2"/>
                  <c:y val="2.5754088431253791E-2"/>
                </c:manualLayout>
              </c:layout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Munka1!$A$2:$A$19</c:f>
              <c:strCache>
                <c:ptCount val="9"/>
                <c:pt idx="0">
                  <c:v>fakidőlés</c:v>
                </c:pt>
                <c:pt idx="1">
                  <c:v>viharkár</c:v>
                </c:pt>
                <c:pt idx="2">
                  <c:v>közúti baleset</c:v>
                </c:pt>
                <c:pt idx="3">
                  <c:v>omlásveszély</c:v>
                </c:pt>
                <c:pt idx="4">
                  <c:v>CO mérgezés</c:v>
                </c:pt>
                <c:pt idx="5">
                  <c:v>gázszivárgás</c:v>
                </c:pt>
                <c:pt idx="6">
                  <c:v>életmentés</c:v>
                </c:pt>
                <c:pt idx="7">
                  <c:v>vízkárok</c:v>
                </c:pt>
                <c:pt idx="8">
                  <c:v>állatbaleset</c:v>
                </c:pt>
              </c:strCache>
            </c:strRef>
          </c:cat>
          <c:val>
            <c:numRef>
              <c:f>Munka1!$B$2:$B$19</c:f>
              <c:numCache>
                <c:formatCode>General</c:formatCode>
                <c:ptCount val="18"/>
                <c:pt idx="0">
                  <c:v>144</c:v>
                </c:pt>
                <c:pt idx="1">
                  <c:v>13</c:v>
                </c:pt>
                <c:pt idx="2">
                  <c:v>79</c:v>
                </c:pt>
                <c:pt idx="3">
                  <c:v>16</c:v>
                </c:pt>
                <c:pt idx="4">
                  <c:v>5</c:v>
                </c:pt>
                <c:pt idx="5">
                  <c:v>15</c:v>
                </c:pt>
                <c:pt idx="6">
                  <c:v>31</c:v>
                </c:pt>
                <c:pt idx="7">
                  <c:v>13</c:v>
                </c:pt>
                <c:pt idx="8">
                  <c:v>6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>
      <c:layout>
        <c:manualLayout>
          <c:xMode val="edge"/>
          <c:yMode val="edge"/>
          <c:x val="0.15256944444444462"/>
          <c:y val="3.4188034188034191E-2"/>
        </c:manualLayout>
      </c:layout>
    </c:title>
    <c:view3D>
      <c:rotX val="30"/>
      <c:rotY val="160"/>
      <c:perspective val="30"/>
    </c:view3D>
    <c:plotArea>
      <c:layout>
        <c:manualLayout>
          <c:layoutTarget val="inner"/>
          <c:xMode val="edge"/>
          <c:yMode val="edge"/>
          <c:x val="3.7037037037037056E-2"/>
          <c:y val="0.17450948002129213"/>
          <c:w val="0.82407407407407873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Műszaki mentések megoszlása Makói HTP</c:v>
                </c:pt>
              </c:strCache>
            </c:strRef>
          </c:tx>
          <c:explosion val="25"/>
          <c:dPt>
            <c:idx val="0"/>
            <c:spPr>
              <a:solidFill>
                <a:srgbClr val="FF0000"/>
              </a:solidFill>
            </c:spPr>
          </c:dPt>
          <c:dPt>
            <c:idx val="1"/>
            <c:explosion val="13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0.10507181393992418"/>
                  <c:y val="4.7815037106375885E-2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2.5462962962962982E-2"/>
                  <c:y val="0.21604928754535177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6.4814814814814853E-2"/>
                  <c:y val="2.9788374355303491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0"/>
                  <c:y val="0.18443673561783813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0"/>
                  <c:y val="-8.6438460926650265E-2"/>
                </c:manualLayout>
              </c:layout>
              <c:dLblPos val="bestFit"/>
              <c:showVal val="1"/>
              <c:showCatName val="1"/>
            </c:dLbl>
            <c:dLbl>
              <c:idx val="5"/>
              <c:layout>
                <c:manualLayout>
                  <c:x val="0.11142461358996793"/>
                  <c:y val="-7.7335682690013424E-2"/>
                </c:manualLayout>
              </c:layout>
              <c:dLblPos val="bestFit"/>
              <c:showVal val="1"/>
              <c:showCatName val="1"/>
            </c:dLbl>
            <c:dLbl>
              <c:idx val="6"/>
              <c:layout>
                <c:manualLayout>
                  <c:x val="0.20643682560513271"/>
                  <c:y val="0"/>
                </c:manualLayout>
              </c:layout>
              <c:tx>
                <c:rich>
                  <a:bodyPr/>
                  <a:lstStyle/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r>
                      <a:rPr lang="hu-HU"/>
                      <a:t>Fakidőlés </a:t>
                    </a:r>
                    <a:r>
                      <a:rPr lang="en-US"/>
                      <a:t>31</a:t>
                    </a:r>
                    <a:r>
                      <a:rPr lang="hu-HU"/>
                      <a:t>%</a:t>
                    </a:r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en-US"/>
                  </a:p>
                </c:rich>
              </c:tx>
              <c:dLblPos val="bestFit"/>
              <c:showVal val="1"/>
            </c:dLbl>
            <c:dLbl>
              <c:idx val="9"/>
              <c:layout>
                <c:manualLayout>
                  <c:x val="-1.1401829979585897E-2"/>
                  <c:y val="3.6270885719704639E-2"/>
                </c:manualLayout>
              </c:layout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Munka1!$A$2:$A$13</c:f>
              <c:strCache>
                <c:ptCount val="12"/>
                <c:pt idx="0">
                  <c:v>Állatbaleset</c:v>
                </c:pt>
                <c:pt idx="1">
                  <c:v>Gázszivárgás</c:v>
                </c:pt>
                <c:pt idx="2">
                  <c:v>Egyéb</c:v>
                </c:pt>
                <c:pt idx="3">
                  <c:v>Elemi csapás-viharkár</c:v>
                </c:pt>
                <c:pt idx="4">
                  <c:v>Életmentés</c:v>
                </c:pt>
                <c:pt idx="5">
                  <c:v>Épület omlás</c:v>
                </c:pt>
                <c:pt idx="6">
                  <c:v>Fakidőlés</c:v>
                </c:pt>
                <c:pt idx="7">
                  <c:v>Halott kiemelés</c:v>
                </c:pt>
                <c:pt idx="8">
                  <c:v>Közúti baleset</c:v>
                </c:pt>
                <c:pt idx="9">
                  <c:v>Omlásveszély</c:v>
                </c:pt>
                <c:pt idx="10">
                  <c:v>Rovar</c:v>
                </c:pt>
                <c:pt idx="11">
                  <c:v>Vízkárok</c:v>
                </c:pt>
              </c:strCache>
            </c:str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1</c:v>
                </c:pt>
                <c:pt idx="1">
                  <c:v>8</c:v>
                </c:pt>
                <c:pt idx="2">
                  <c:v>10</c:v>
                </c:pt>
                <c:pt idx="3">
                  <c:v>11</c:v>
                </c:pt>
                <c:pt idx="4">
                  <c:v>5</c:v>
                </c:pt>
                <c:pt idx="5">
                  <c:v>3</c:v>
                </c:pt>
                <c:pt idx="6">
                  <c:v>31</c:v>
                </c:pt>
                <c:pt idx="7">
                  <c:v>2</c:v>
                </c:pt>
                <c:pt idx="8">
                  <c:v>15</c:v>
                </c:pt>
                <c:pt idx="9">
                  <c:v>1</c:v>
                </c:pt>
                <c:pt idx="10">
                  <c:v>1</c:v>
                </c:pt>
                <c:pt idx="11">
                  <c:v>9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>
      <c:layout>
        <c:manualLayout>
          <c:xMode val="edge"/>
          <c:yMode val="edge"/>
          <c:x val="0.18497685185185195"/>
          <c:y val="0"/>
        </c:manualLayout>
      </c:layout>
    </c:title>
    <c:view3D>
      <c:rotX val="30"/>
      <c:rotY val="130"/>
      <c:perspective val="10"/>
    </c:view3D>
    <c:plotArea>
      <c:layout>
        <c:manualLayout>
          <c:layoutTarget val="inner"/>
          <c:xMode val="edge"/>
          <c:yMode val="edge"/>
          <c:x val="3.7037037037037056E-2"/>
          <c:y val="0.17450948002129243"/>
          <c:w val="0.82407407407407929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Önkéntes Tűzoltó Egyesület részvétele</c:v>
                </c:pt>
              </c:strCache>
            </c:strRef>
          </c:tx>
          <c:explosion val="17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-0.17965040828229831"/>
                  <c:y val="8.5111074402413001E-2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-0.22685185185185186"/>
                  <c:y val="4.3419782317420122E-2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6.4814814814814922E-2"/>
                  <c:y val="2.9788374355303491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1.3888888888888911E-2"/>
                  <c:y val="-1.1367460186357807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9.2592592592592778E-3"/>
                  <c:y val="-1.1846631059229487E-2"/>
                </c:manualLayout>
              </c:layout>
              <c:dLblPos val="bestFit"/>
              <c:showVal val="1"/>
              <c:showCatName val="1"/>
            </c:dLbl>
            <c:dLbl>
              <c:idx val="5"/>
              <c:layout>
                <c:manualLayout>
                  <c:x val="0.11142461358996793"/>
                  <c:y val="-7.7335682690013424E-2"/>
                </c:manualLayout>
              </c:layout>
              <c:dLblPos val="bestFit"/>
              <c:showVal val="1"/>
              <c:showCatName val="1"/>
            </c:dLbl>
            <c:dLbl>
              <c:idx val="6"/>
              <c:layout>
                <c:manualLayout>
                  <c:x val="0.20643682560513271"/>
                  <c:y val="0"/>
                </c:manualLayout>
              </c:layout>
              <c:tx>
                <c:rich>
                  <a:bodyPr/>
                  <a:lstStyle/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en-US"/>
                  </a:p>
                </c:rich>
              </c:tx>
              <c:dLblPos val="bestFit"/>
              <c:showVal val="1"/>
            </c:dLbl>
            <c:dLbl>
              <c:idx val="7"/>
              <c:layout>
                <c:manualLayout>
                  <c:x val="1.1221383785360181E-2"/>
                  <c:y val="-0.15145005475714157"/>
                </c:manualLayout>
              </c:layout>
              <c:dLblPos val="bestFit"/>
              <c:showVal val="1"/>
              <c:showCatName val="1"/>
            </c:dLbl>
            <c:dLbl>
              <c:idx val="8"/>
              <c:layout>
                <c:manualLayout>
                  <c:x val="2.4938939924176178E-3"/>
                  <c:y val="0.22131160178404272"/>
                </c:manualLayout>
              </c:layout>
              <c:dLblPos val="bestFit"/>
              <c:showVal val="1"/>
              <c:showCatName val="1"/>
            </c:dLbl>
            <c:dLbl>
              <c:idx val="9"/>
              <c:layout>
                <c:manualLayout>
                  <c:x val="5.3412984835229056E-2"/>
                  <c:y val="6.4242913691732587E-2"/>
                </c:manualLayout>
              </c:layout>
              <c:dLblPos val="bestFit"/>
              <c:showVal val="1"/>
              <c:showCatName val="1"/>
            </c:dLbl>
            <c:dLbl>
              <c:idx val="10"/>
              <c:layout>
                <c:manualLayout>
                  <c:x val="-0.1161798264800234"/>
                  <c:y val="0.13992132102368318"/>
                </c:manualLayout>
              </c:layout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Munka1!$A$2:$A$13</c:f>
              <c:strCache>
                <c:ptCount val="11"/>
                <c:pt idx="0">
                  <c:v>Földeák ÖTE</c:v>
                </c:pt>
                <c:pt idx="1">
                  <c:v>Maroslele ÖTE</c:v>
                </c:pt>
                <c:pt idx="2">
                  <c:v>Balástya ÖTE</c:v>
                </c:pt>
                <c:pt idx="3">
                  <c:v>Sándorfalva ÖTE</c:v>
                </c:pt>
                <c:pt idx="4">
                  <c:v>Ruzsa ÖTE</c:v>
                </c:pt>
                <c:pt idx="5">
                  <c:v>Mórahalom ÖTE</c:v>
                </c:pt>
                <c:pt idx="6">
                  <c:v>Ásotthalom ÖTE</c:v>
                </c:pt>
                <c:pt idx="7">
                  <c:v>Forráskút ÖTE</c:v>
                </c:pt>
                <c:pt idx="8">
                  <c:v>Üllés ÖTE</c:v>
                </c:pt>
                <c:pt idx="9">
                  <c:v>Öttömös ÖTE</c:v>
                </c:pt>
                <c:pt idx="10">
                  <c:v>Szegedi Vízimentők</c:v>
                </c:pt>
              </c:strCache>
            </c:str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10</c:v>
                </c:pt>
                <c:pt idx="1">
                  <c:v>2</c:v>
                </c:pt>
                <c:pt idx="2">
                  <c:v>30</c:v>
                </c:pt>
                <c:pt idx="3">
                  <c:v>21</c:v>
                </c:pt>
                <c:pt idx="4">
                  <c:v>6</c:v>
                </c:pt>
                <c:pt idx="5">
                  <c:v>19</c:v>
                </c:pt>
                <c:pt idx="6">
                  <c:v>7</c:v>
                </c:pt>
                <c:pt idx="7">
                  <c:v>0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  <a:effectLst>
      <a:innerShdw blurRad="114300">
        <a:prstClr val="black"/>
      </a:innerShdw>
    </a:effectLst>
    <a:scene3d>
      <a:camera prst="orthographicFront"/>
      <a:lightRig rig="threePt" dir="t"/>
    </a:scene3d>
    <a:sp3d prstMaterial="metal">
      <a:bevelT w="25400" h="114300"/>
      <a:bevelB w="44450" h="114300"/>
    </a:sp3d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title>
      <c:layout>
        <c:manualLayout>
          <c:xMode val="edge"/>
          <c:yMode val="edge"/>
          <c:x val="0.184976851851852"/>
          <c:y val="0"/>
        </c:manualLayout>
      </c:layout>
    </c:title>
    <c:view3D>
      <c:rotX val="30"/>
      <c:rotY val="130"/>
      <c:perspective val="10"/>
    </c:view3D>
    <c:plotArea>
      <c:layout>
        <c:manualLayout>
          <c:layoutTarget val="inner"/>
          <c:xMode val="edge"/>
          <c:yMode val="edge"/>
          <c:x val="3.7037037037037056E-2"/>
          <c:y val="0.17450948002129255"/>
          <c:w val="0.82407407407407973"/>
          <c:h val="0.72238753372611642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Létesítményi Tűzoltóságok részvétele a beavatkozásokban</c:v>
                </c:pt>
              </c:strCache>
            </c:strRef>
          </c:tx>
          <c:explosion val="17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4.2571813939924173E-2"/>
                  <c:y val="3.5472838622444959E-3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-0.22685185185185186"/>
                  <c:y val="4.3419782317420122E-2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6.481481481481495E-2"/>
                  <c:y val="2.9788374355303491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1.3888888888888919E-2"/>
                  <c:y val="-1.136746018635781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9.2592592592592865E-3"/>
                  <c:y val="-1.1846631059229487E-2"/>
                </c:manualLayout>
              </c:layout>
              <c:dLblPos val="bestFit"/>
              <c:showVal val="1"/>
              <c:showCatName val="1"/>
            </c:dLbl>
            <c:dLbl>
              <c:idx val="5"/>
              <c:layout>
                <c:manualLayout>
                  <c:x val="0.11142461358996793"/>
                  <c:y val="-7.7335682690013424E-2"/>
                </c:manualLayout>
              </c:layout>
              <c:dLblPos val="bestFit"/>
              <c:showVal val="1"/>
              <c:showCatName val="1"/>
            </c:dLbl>
            <c:dLbl>
              <c:idx val="6"/>
              <c:layout>
                <c:manualLayout>
                  <c:x val="0.20643682560513271"/>
                  <c:y val="0"/>
                </c:manualLayout>
              </c:layout>
              <c:tx>
                <c:rich>
                  <a:bodyPr/>
                  <a:lstStyle/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en-US"/>
                  </a:p>
                </c:rich>
              </c:tx>
              <c:dLblPos val="bestFit"/>
              <c:showVal val="1"/>
            </c:dLbl>
            <c:dLbl>
              <c:idx val="7"/>
              <c:layout>
                <c:manualLayout>
                  <c:x val="1.1221383785360185E-2"/>
                  <c:y val="-0.15145005475714168"/>
                </c:manualLayout>
              </c:layout>
              <c:dLblPos val="bestFit"/>
              <c:showVal val="1"/>
              <c:showCatName val="1"/>
            </c:dLbl>
            <c:dLbl>
              <c:idx val="8"/>
              <c:layout>
                <c:manualLayout>
                  <c:x val="2.4938939924176191E-3"/>
                  <c:y val="0.22131160178404272"/>
                </c:manualLayout>
              </c:layout>
              <c:dLblPos val="bestFit"/>
              <c:showVal val="1"/>
              <c:showCatName val="1"/>
            </c:dLbl>
            <c:dLbl>
              <c:idx val="9"/>
              <c:layout>
                <c:manualLayout>
                  <c:x val="5.3412984835229105E-2"/>
                  <c:y val="6.4242913691732587E-2"/>
                </c:manualLayout>
              </c:layout>
              <c:dLblPos val="bestFit"/>
              <c:showVal val="1"/>
              <c:showCatName val="1"/>
            </c:dLbl>
            <c:dLbl>
              <c:idx val="10"/>
              <c:layout>
                <c:manualLayout>
                  <c:x val="-0.11617982648002342"/>
                  <c:y val="0.13992132102368318"/>
                </c:manualLayout>
              </c:layout>
              <c:dLblPos val="bestFit"/>
              <c:showVal val="1"/>
              <c:showCatName val="1"/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200" baseline="0"/>
                </a:pPr>
                <a:endParaRPr lang="hu-HU"/>
              </a:p>
            </c:txPr>
            <c:dLblPos val="bestFit"/>
            <c:showVal val="1"/>
            <c:showCatName val="1"/>
            <c:showLeaderLines val="1"/>
          </c:dLbls>
          <c:cat>
            <c:strRef>
              <c:f>Munka1!$A$2:$A$13</c:f>
              <c:strCache>
                <c:ptCount val="2"/>
                <c:pt idx="0">
                  <c:v>ContiTech Rubber Industrial LTP</c:v>
                </c:pt>
                <c:pt idx="1">
                  <c:v>FER LTP</c:v>
                </c:pt>
              </c:strCache>
            </c:str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2</c:v>
                </c:pt>
                <c:pt idx="1">
                  <c:v>18</c:v>
                </c:pt>
              </c:numCache>
            </c:numRef>
          </c:val>
        </c:ser>
      </c:pie3DChart>
    </c:plotArea>
    <c:plotVisOnly val="1"/>
  </c:chart>
  <c:spPr>
    <a:solidFill>
      <a:srgbClr val="FFFF00"/>
    </a:solidFill>
    <a:ln w="25400" cap="rnd">
      <a:solidFill>
        <a:srgbClr val="002060"/>
      </a:solidFill>
    </a:ln>
    <a:effectLst>
      <a:innerShdw blurRad="114300">
        <a:prstClr val="black"/>
      </a:innerShdw>
    </a:effectLst>
    <a:scene3d>
      <a:camera prst="orthographicFront"/>
      <a:lightRig rig="threePt" dir="t"/>
    </a:scene3d>
    <a:sp3d prstMaterial="metal">
      <a:bevelT w="25400" h="114300"/>
      <a:bevelB w="44450" h="114300"/>
    </a:sp3d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roundedCorners val="1"/>
  <c:chart>
    <c:plotArea>
      <c:layout>
        <c:manualLayout>
          <c:layoutTarget val="inner"/>
          <c:xMode val="edge"/>
          <c:yMode val="edge"/>
          <c:x val="3.7037037037037056E-2"/>
          <c:y val="2.3429448941259971E-2"/>
          <c:w val="0.93147564887722356"/>
          <c:h val="0.94142669666291712"/>
        </c:manualLayout>
      </c:layout>
      <c:barChart>
        <c:barDir val="bar"/>
        <c:grouping val="clustered"/>
        <c:ser>
          <c:idx val="1"/>
          <c:order val="1"/>
          <c:tx>
            <c:strRef>
              <c:f>Munka1!$C$1</c:f>
              <c:strCache>
                <c:ptCount val="1"/>
                <c:pt idx="0">
                  <c:v>Tűzeset</c:v>
                </c:pt>
              </c:strCache>
            </c:strRef>
          </c:tx>
          <c:dLbls>
            <c:showVal val="1"/>
          </c:dLbls>
          <c:cat>
            <c:strRef>
              <c:f>Munka1!$A$2:$A$40</c:f>
              <c:strCache>
                <c:ptCount val="39"/>
                <c:pt idx="0">
                  <c:v>Szeged</c:v>
                </c:pt>
                <c:pt idx="1">
                  <c:v>Makó</c:v>
                </c:pt>
                <c:pt idx="2">
                  <c:v>Balástya </c:v>
                </c:pt>
                <c:pt idx="3">
                  <c:v>Szatymaz</c:v>
                </c:pt>
                <c:pt idx="4">
                  <c:v>Mórahalom </c:v>
                </c:pt>
                <c:pt idx="5">
                  <c:v>Domaszék </c:v>
                </c:pt>
                <c:pt idx="6">
                  <c:v>Kistelek</c:v>
                </c:pt>
                <c:pt idx="7">
                  <c:v>Sándorfalva</c:v>
                </c:pt>
                <c:pt idx="8">
                  <c:v>Deszk</c:v>
                </c:pt>
                <c:pt idx="9">
                  <c:v>Algyő</c:v>
                </c:pt>
                <c:pt idx="10">
                  <c:v>Kelebia</c:v>
                </c:pt>
                <c:pt idx="11">
                  <c:v>Ópusztaszer</c:v>
                </c:pt>
                <c:pt idx="12">
                  <c:v>Ásotthalom</c:v>
                </c:pt>
                <c:pt idx="13">
                  <c:v>Apátfalva</c:v>
                </c:pt>
                <c:pt idx="14">
                  <c:v>Zákányszék</c:v>
                </c:pt>
                <c:pt idx="15">
                  <c:v>Csanádpalota</c:v>
                </c:pt>
                <c:pt idx="16">
                  <c:v>Öttömös</c:v>
                </c:pt>
                <c:pt idx="17">
                  <c:v>Röszke</c:v>
                </c:pt>
                <c:pt idx="18">
                  <c:v>Ruzsa</c:v>
                </c:pt>
                <c:pt idx="19">
                  <c:v>Üllés</c:v>
                </c:pt>
                <c:pt idx="20">
                  <c:v>Zsombó</c:v>
                </c:pt>
                <c:pt idx="21">
                  <c:v>Bordány </c:v>
                </c:pt>
                <c:pt idx="22">
                  <c:v>Magyarcsanád</c:v>
                </c:pt>
                <c:pt idx="23">
                  <c:v>Újszentiván</c:v>
                </c:pt>
                <c:pt idx="24">
                  <c:v>Földeák</c:v>
                </c:pt>
                <c:pt idx="25">
                  <c:v>Kiszombor</c:v>
                </c:pt>
                <c:pt idx="26">
                  <c:v>Kübekháza</c:v>
                </c:pt>
                <c:pt idx="27">
                  <c:v>Dóc</c:v>
                </c:pt>
                <c:pt idx="28">
                  <c:v>Óföldeák</c:v>
                </c:pt>
                <c:pt idx="29">
                  <c:v>Tiszasziget</c:v>
                </c:pt>
                <c:pt idx="30">
                  <c:v>Csólyospálos</c:v>
                </c:pt>
                <c:pt idx="31">
                  <c:v>Ferencszállás</c:v>
                </c:pt>
                <c:pt idx="32">
                  <c:v>Klárafalva</c:v>
                </c:pt>
                <c:pt idx="33">
                  <c:v>Klárafalva</c:v>
                </c:pt>
                <c:pt idx="34">
                  <c:v>Kövegy</c:v>
                </c:pt>
                <c:pt idx="35">
                  <c:v>Maroslele</c:v>
                </c:pt>
                <c:pt idx="36">
                  <c:v>Nagylak</c:v>
                </c:pt>
                <c:pt idx="37">
                  <c:v>Pusztamérges</c:v>
                </c:pt>
                <c:pt idx="38">
                  <c:v>Királyhegyes</c:v>
                </c:pt>
              </c:strCache>
            </c:strRef>
          </c:cat>
          <c:val>
            <c:numRef>
              <c:f>Munka1!$C$2:$C$40</c:f>
              <c:numCache>
                <c:formatCode>General</c:formatCode>
                <c:ptCount val="39"/>
                <c:pt idx="0">
                  <c:v>291</c:v>
                </c:pt>
                <c:pt idx="1">
                  <c:v>73</c:v>
                </c:pt>
                <c:pt idx="2">
                  <c:v>20</c:v>
                </c:pt>
                <c:pt idx="3">
                  <c:v>18</c:v>
                </c:pt>
                <c:pt idx="4">
                  <c:v>15</c:v>
                </c:pt>
                <c:pt idx="5">
                  <c:v>14</c:v>
                </c:pt>
                <c:pt idx="6">
                  <c:v>14</c:v>
                </c:pt>
                <c:pt idx="7">
                  <c:v>14</c:v>
                </c:pt>
                <c:pt idx="8">
                  <c:v>12</c:v>
                </c:pt>
                <c:pt idx="9">
                  <c:v>11</c:v>
                </c:pt>
                <c:pt idx="10">
                  <c:v>11</c:v>
                </c:pt>
                <c:pt idx="11">
                  <c:v>11</c:v>
                </c:pt>
                <c:pt idx="12">
                  <c:v>7</c:v>
                </c:pt>
                <c:pt idx="13">
                  <c:v>6</c:v>
                </c:pt>
                <c:pt idx="14">
                  <c:v>6</c:v>
                </c:pt>
                <c:pt idx="15">
                  <c:v>5</c:v>
                </c:pt>
                <c:pt idx="16">
                  <c:v>5</c:v>
                </c:pt>
                <c:pt idx="17">
                  <c:v>5</c:v>
                </c:pt>
                <c:pt idx="18">
                  <c:v>5</c:v>
                </c:pt>
                <c:pt idx="19">
                  <c:v>5</c:v>
                </c:pt>
                <c:pt idx="20">
                  <c:v>5</c:v>
                </c:pt>
                <c:pt idx="21">
                  <c:v>4</c:v>
                </c:pt>
                <c:pt idx="22">
                  <c:v>4</c:v>
                </c:pt>
                <c:pt idx="23">
                  <c:v>4</c:v>
                </c:pt>
                <c:pt idx="24">
                  <c:v>3</c:v>
                </c:pt>
                <c:pt idx="25">
                  <c:v>3</c:v>
                </c:pt>
                <c:pt idx="26">
                  <c:v>3</c:v>
                </c:pt>
                <c:pt idx="27">
                  <c:v>2</c:v>
                </c:pt>
                <c:pt idx="28">
                  <c:v>2</c:v>
                </c:pt>
                <c:pt idx="29">
                  <c:v>2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1</c:v>
                </c:pt>
                <c:pt idx="36">
                  <c:v>1</c:v>
                </c:pt>
                <c:pt idx="37">
                  <c:v>1</c:v>
                </c:pt>
                <c:pt idx="38">
                  <c:v>0</c:v>
                </c:pt>
              </c:numCache>
            </c:numRef>
          </c:val>
        </c:ser>
        <c:ser>
          <c:idx val="0"/>
          <c:order val="0"/>
          <c:tx>
            <c:strRef>
              <c:f>Munka1!$B$1</c:f>
              <c:strCache>
                <c:ptCount val="1"/>
                <c:pt idx="0">
                  <c:v>Műszaki mentés</c:v>
                </c:pt>
              </c:strCache>
            </c:strRef>
          </c:tx>
          <c:dLbls>
            <c:dLbl>
              <c:idx val="0"/>
              <c:layout>
                <c:manualLayout>
                  <c:x val="-1.409667541557306E-3"/>
                  <c:y val="4.9478374026776101E-3"/>
                </c:manualLayout>
              </c:layout>
              <c:showVal val="1"/>
              <c:showCatName val="1"/>
            </c:dLbl>
            <c:dLbl>
              <c:idx val="1"/>
              <c:layout>
                <c:manualLayout>
                  <c:x val="4.6786052785068505E-2"/>
                  <c:y val="5.6046670636758682E-3"/>
                </c:manualLayout>
              </c:layout>
              <c:showVal val="1"/>
              <c:showCatName val="1"/>
            </c:dLbl>
            <c:dLbl>
              <c:idx val="2"/>
              <c:layout>
                <c:manualLayout>
                  <c:x val="7.6388706620005839E-2"/>
                  <c:y val="1.7771675599373615E-3"/>
                </c:manualLayout>
              </c:layout>
              <c:showVal val="1"/>
              <c:showCatName val="1"/>
            </c:dLbl>
            <c:dLbl>
              <c:idx val="3"/>
              <c:layout>
                <c:manualLayout>
                  <c:x val="7.407407407407407E-2"/>
                  <c:y val="9.6409272370365472E-3"/>
                </c:manualLayout>
              </c:layout>
              <c:showVal val="1"/>
              <c:showCatName val="1"/>
            </c:dLbl>
            <c:dLbl>
              <c:idx val="4"/>
              <c:layout>
                <c:manualLayout>
                  <c:x val="5.0925925925925923E-2"/>
                  <c:y val="6.360638743686451E-3"/>
                </c:manualLayout>
              </c:layout>
              <c:showVal val="1"/>
              <c:showCatName val="1"/>
            </c:dLbl>
            <c:dLbl>
              <c:idx val="5"/>
              <c:layout>
                <c:manualLayout>
                  <c:x val="6.512831729367162E-2"/>
                  <c:y val="9.4989964489732952E-3"/>
                </c:manualLayout>
              </c:layout>
              <c:showVal val="1"/>
              <c:showCatName val="1"/>
            </c:dLbl>
            <c:dLbl>
              <c:idx val="6"/>
              <c:layout>
                <c:manualLayout>
                  <c:x val="0.20643682560513271"/>
                  <c:y val="0"/>
                </c:manualLayout>
              </c:layout>
              <c:tx>
                <c:rich>
                  <a:bodyPr/>
                  <a:lstStyle/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hu-HU"/>
                  </a:p>
                  <a:p>
                    <a:endParaRPr lang="en-US"/>
                  </a:p>
                </c:rich>
              </c:tx>
              <c:showVal val="1"/>
              <c:showCatName val="1"/>
            </c:dLbl>
            <c:dLbl>
              <c:idx val="7"/>
              <c:layout>
                <c:manualLayout>
                  <c:x val="7.1406568970545384E-2"/>
                  <c:y val="8.2136791724564829E-3"/>
                </c:manualLayout>
              </c:layout>
              <c:showVal val="1"/>
              <c:showCatName val="1"/>
            </c:dLbl>
            <c:dLbl>
              <c:idx val="8"/>
              <c:layout>
                <c:manualLayout>
                  <c:x val="7.1938429571303586E-2"/>
                  <c:y val="1.1227530382231742E-2"/>
                </c:manualLayout>
              </c:layout>
              <c:showVal val="1"/>
              <c:showCatName val="1"/>
            </c:dLbl>
            <c:dLbl>
              <c:idx val="9"/>
              <c:layout>
                <c:manualLayout>
                  <c:x val="4.4153725575969673E-2"/>
                  <c:y val="6.8199563289882883E-3"/>
                </c:manualLayout>
              </c:layout>
              <c:showVal val="1"/>
              <c:showCatName val="1"/>
            </c:dLbl>
            <c:dLbl>
              <c:idx val="10"/>
              <c:layout>
                <c:manualLayout>
                  <c:x val="5.7870370370370371E-2"/>
                  <c:y val="4.0670283861576123E-3"/>
                </c:manualLayout>
              </c:layout>
              <c:showVal val="1"/>
              <c:showCatName val="1"/>
            </c:dLbl>
            <c:dLbl>
              <c:idx val="11"/>
              <c:layout>
                <c:manualLayout>
                  <c:x val="6.7129629629629664E-2"/>
                  <c:y val="2.8011204481792743E-3"/>
                </c:manualLayout>
              </c:layout>
              <c:showVal val="1"/>
              <c:showCatName val="1"/>
            </c:dLbl>
            <c:dLbl>
              <c:idx val="12"/>
              <c:layout>
                <c:manualLayout>
                  <c:x val="5.5555555555555518E-2"/>
                  <c:y val="8.403361344537813E-3"/>
                </c:manualLayout>
              </c:layout>
              <c:showVal val="1"/>
              <c:showCatName val="1"/>
            </c:dLbl>
            <c:dLbl>
              <c:idx val="13"/>
              <c:layout>
                <c:manualLayout>
                  <c:x val="6.0185185185185154E-2"/>
                  <c:y val="4.2016806722689074E-3"/>
                </c:manualLayout>
              </c:layout>
              <c:showVal val="1"/>
              <c:showCatName val="1"/>
            </c:dLbl>
            <c:dLbl>
              <c:idx val="14"/>
              <c:layout>
                <c:manualLayout>
                  <c:x val="5.5555555555555518E-2"/>
                  <c:y val="4.2016806722689074E-3"/>
                </c:manualLayout>
              </c:layout>
              <c:showVal val="1"/>
              <c:showCatName val="1"/>
            </c:dLbl>
            <c:dLbl>
              <c:idx val="15"/>
              <c:layout>
                <c:manualLayout>
                  <c:x val="4.8611111111111112E-2"/>
                  <c:y val="4.2016806722689074E-3"/>
                </c:manualLayout>
              </c:layout>
              <c:showVal val="1"/>
              <c:showCatName val="1"/>
            </c:dLbl>
            <c:dLbl>
              <c:idx val="16"/>
              <c:layout>
                <c:manualLayout>
                  <c:x val="2.7777777777777821E-2"/>
                  <c:y val="5.6022408963585461E-3"/>
                </c:manualLayout>
              </c:layout>
              <c:showVal val="1"/>
              <c:showCatName val="1"/>
            </c:dLbl>
            <c:dLbl>
              <c:idx val="17"/>
              <c:layout>
                <c:manualLayout>
                  <c:x val="4.8611111111111112E-2"/>
                  <c:y val="0"/>
                </c:manualLayout>
              </c:layout>
              <c:showVal val="1"/>
              <c:showCatName val="1"/>
            </c:dLbl>
            <c:dLbl>
              <c:idx val="18"/>
              <c:layout>
                <c:manualLayout>
                  <c:x val="2.5462962962962975E-2"/>
                  <c:y val="2.8011204481792743E-3"/>
                </c:manualLayout>
              </c:layout>
              <c:showVal val="1"/>
              <c:showCatName val="1"/>
            </c:dLbl>
            <c:dLbl>
              <c:idx val="19"/>
              <c:layout>
                <c:manualLayout>
                  <c:x val="4.8611111111111112E-2"/>
                  <c:y val="4.2016806722689074E-3"/>
                </c:manualLayout>
              </c:layout>
              <c:showVal val="1"/>
              <c:showCatName val="1"/>
            </c:dLbl>
            <c:dLbl>
              <c:idx val="20"/>
              <c:layout>
                <c:manualLayout>
                  <c:x val="4.8611111111111112E-2"/>
                  <c:y val="-5.1353281645795071E-17"/>
                </c:manualLayout>
              </c:layout>
              <c:showVal val="1"/>
              <c:showCatName val="1"/>
            </c:dLbl>
            <c:dLbl>
              <c:idx val="21"/>
              <c:layout>
                <c:manualLayout>
                  <c:x val="5.0925925925925923E-2"/>
                  <c:y val="5.1353281645795071E-17"/>
                </c:manualLayout>
              </c:layout>
              <c:showVal val="1"/>
              <c:showCatName val="1"/>
            </c:dLbl>
            <c:dLbl>
              <c:idx val="22"/>
              <c:layout>
                <c:manualLayout>
                  <c:x val="2.7777777777777807E-2"/>
                  <c:y val="4.2016806722689074E-3"/>
                </c:manualLayout>
              </c:layout>
              <c:showVal val="1"/>
              <c:showCatName val="1"/>
            </c:dLbl>
            <c:dLbl>
              <c:idx val="23"/>
              <c:layout>
                <c:manualLayout>
                  <c:x val="2.3148148148148147E-2"/>
                  <c:y val="4.2016806722689074E-3"/>
                </c:manualLayout>
              </c:layout>
              <c:showVal val="1"/>
              <c:showCatName val="1"/>
            </c:dLbl>
            <c:dLbl>
              <c:idx val="24"/>
              <c:layout>
                <c:manualLayout>
                  <c:x val="3.0092592592592591E-2"/>
                  <c:y val="4.2016806722689074E-3"/>
                </c:manualLayout>
              </c:layout>
              <c:showVal val="1"/>
              <c:showCatName val="1"/>
            </c:dLbl>
            <c:dLbl>
              <c:idx val="25"/>
              <c:layout>
                <c:manualLayout>
                  <c:x val="2.7777777777777811E-2"/>
                  <c:y val="-1.4005602240896361E-3"/>
                </c:manualLayout>
              </c:layout>
              <c:showVal val="1"/>
              <c:showCatName val="1"/>
            </c:dLbl>
            <c:dLbl>
              <c:idx val="26"/>
              <c:layout>
                <c:manualLayout>
                  <c:x val="5.0925925925925923E-2"/>
                  <c:y val="4.2016806722689074E-3"/>
                </c:manualLayout>
              </c:layout>
              <c:showVal val="1"/>
              <c:showCatName val="1"/>
            </c:dLbl>
            <c:dLbl>
              <c:idx val="27"/>
              <c:layout>
                <c:manualLayout>
                  <c:x val="4.1666666666666692E-2"/>
                  <c:y val="4.2016806722689074E-3"/>
                </c:manualLayout>
              </c:layout>
              <c:showVal val="1"/>
              <c:showCatName val="1"/>
            </c:dLbl>
            <c:dLbl>
              <c:idx val="28"/>
              <c:layout>
                <c:manualLayout>
                  <c:x val="6.4814814814814853E-2"/>
                  <c:y val="9.8039215686274508E-3"/>
                </c:manualLayout>
              </c:layout>
              <c:showVal val="1"/>
              <c:showCatName val="1"/>
            </c:dLbl>
            <c:dLbl>
              <c:idx val="29"/>
              <c:layout>
                <c:manualLayout>
                  <c:x val="7.6388888888888895E-2"/>
                  <c:y val="2.8011204481792743E-3"/>
                </c:manualLayout>
              </c:layout>
              <c:showVal val="1"/>
              <c:showCatName val="1"/>
            </c:dLbl>
            <c:dLbl>
              <c:idx val="30"/>
              <c:layout>
                <c:manualLayout>
                  <c:x val="4.1666666666666664E-2"/>
                  <c:y val="1.4005602240896361E-3"/>
                </c:manualLayout>
              </c:layout>
              <c:showVal val="1"/>
              <c:showCatName val="1"/>
            </c:dLbl>
            <c:dLbl>
              <c:idx val="31"/>
              <c:layout>
                <c:manualLayout>
                  <c:x val="3.2407407407407426E-2"/>
                  <c:y val="2.5676640822897541E-17"/>
                </c:manualLayout>
              </c:layout>
              <c:showVal val="1"/>
              <c:showCatName val="1"/>
            </c:dLbl>
            <c:dLbl>
              <c:idx val="32"/>
              <c:layout>
                <c:manualLayout>
                  <c:x val="4.8611111111111112E-2"/>
                  <c:y val="2.8011204481792743E-3"/>
                </c:manualLayout>
              </c:layout>
              <c:showVal val="1"/>
              <c:showCatName val="1"/>
            </c:dLbl>
            <c:dLbl>
              <c:idx val="33"/>
              <c:layout>
                <c:manualLayout>
                  <c:x val="4.3981481481481483E-2"/>
                  <c:y val="2.8011204481792743E-3"/>
                </c:manualLayout>
              </c:layout>
              <c:showVal val="1"/>
              <c:showCatName val="1"/>
            </c:dLbl>
            <c:dLbl>
              <c:idx val="34"/>
              <c:layout>
                <c:manualLayout>
                  <c:x val="4.3981481481481483E-2"/>
                  <c:y val="0"/>
                </c:manualLayout>
              </c:layout>
              <c:showVal val="1"/>
              <c:showCatName val="1"/>
            </c:dLbl>
            <c:dLbl>
              <c:idx val="35"/>
              <c:layout>
                <c:manualLayout>
                  <c:x val="5.0925925925925923E-2"/>
                  <c:y val="1.4005602240896487E-3"/>
                </c:manualLayout>
              </c:layout>
              <c:showVal val="1"/>
              <c:showCatName val="1"/>
            </c:dLbl>
            <c:dLbl>
              <c:idx val="36"/>
              <c:layout>
                <c:manualLayout>
                  <c:x val="3.7037037037037056E-2"/>
                  <c:y val="4.2016806722689074E-3"/>
                </c:manualLayout>
              </c:layout>
              <c:showVal val="1"/>
              <c:showCatName val="1"/>
            </c:dLbl>
            <c:dLbl>
              <c:idx val="37"/>
              <c:layout>
                <c:manualLayout>
                  <c:x val="4.6296296296296328E-2"/>
                  <c:y val="0"/>
                </c:manualLayout>
              </c:layout>
              <c:showVal val="1"/>
              <c:showCatName val="1"/>
            </c:dLbl>
            <c:dLbl>
              <c:idx val="38"/>
              <c:layout>
                <c:manualLayout>
                  <c:x val="3.4722222222222231E-2"/>
                  <c:y val="5.6022408963585461E-3"/>
                </c:manualLayout>
              </c:layout>
              <c:showVal val="1"/>
              <c:showCatName val="1"/>
            </c:dLbl>
            <c:showVal val="1"/>
            <c:showCatName val="1"/>
          </c:dLbls>
          <c:cat>
            <c:strRef>
              <c:f>Munka1!$A$2:$A$40</c:f>
              <c:strCache>
                <c:ptCount val="39"/>
                <c:pt idx="0">
                  <c:v>Szeged</c:v>
                </c:pt>
                <c:pt idx="1">
                  <c:v>Makó</c:v>
                </c:pt>
                <c:pt idx="2">
                  <c:v>Balástya </c:v>
                </c:pt>
                <c:pt idx="3">
                  <c:v>Szatymaz</c:v>
                </c:pt>
                <c:pt idx="4">
                  <c:v>Mórahalom </c:v>
                </c:pt>
                <c:pt idx="5">
                  <c:v>Domaszék </c:v>
                </c:pt>
                <c:pt idx="6">
                  <c:v>Kistelek</c:v>
                </c:pt>
                <c:pt idx="7">
                  <c:v>Sándorfalva</c:v>
                </c:pt>
                <c:pt idx="8">
                  <c:v>Deszk</c:v>
                </c:pt>
                <c:pt idx="9">
                  <c:v>Algyő</c:v>
                </c:pt>
                <c:pt idx="10">
                  <c:v>Kelebia</c:v>
                </c:pt>
                <c:pt idx="11">
                  <c:v>Ópusztaszer</c:v>
                </c:pt>
                <c:pt idx="12">
                  <c:v>Ásotthalom</c:v>
                </c:pt>
                <c:pt idx="13">
                  <c:v>Apátfalva</c:v>
                </c:pt>
                <c:pt idx="14">
                  <c:v>Zákányszék</c:v>
                </c:pt>
                <c:pt idx="15">
                  <c:v>Csanádpalota</c:v>
                </c:pt>
                <c:pt idx="16">
                  <c:v>Öttömös</c:v>
                </c:pt>
                <c:pt idx="17">
                  <c:v>Röszke</c:v>
                </c:pt>
                <c:pt idx="18">
                  <c:v>Ruzsa</c:v>
                </c:pt>
                <c:pt idx="19">
                  <c:v>Üllés</c:v>
                </c:pt>
                <c:pt idx="20">
                  <c:v>Zsombó</c:v>
                </c:pt>
                <c:pt idx="21">
                  <c:v>Bordány </c:v>
                </c:pt>
                <c:pt idx="22">
                  <c:v>Magyarcsanád</c:v>
                </c:pt>
                <c:pt idx="23">
                  <c:v>Újszentiván</c:v>
                </c:pt>
                <c:pt idx="24">
                  <c:v>Földeák</c:v>
                </c:pt>
                <c:pt idx="25">
                  <c:v>Kiszombor</c:v>
                </c:pt>
                <c:pt idx="26">
                  <c:v>Kübekháza</c:v>
                </c:pt>
                <c:pt idx="27">
                  <c:v>Dóc</c:v>
                </c:pt>
                <c:pt idx="28">
                  <c:v>Óföldeák</c:v>
                </c:pt>
                <c:pt idx="29">
                  <c:v>Tiszasziget</c:v>
                </c:pt>
                <c:pt idx="30">
                  <c:v>Csólyospálos</c:v>
                </c:pt>
                <c:pt idx="31">
                  <c:v>Ferencszállás</c:v>
                </c:pt>
                <c:pt idx="32">
                  <c:v>Klárafalva</c:v>
                </c:pt>
                <c:pt idx="33">
                  <c:v>Klárafalva</c:v>
                </c:pt>
                <c:pt idx="34">
                  <c:v>Kövegy</c:v>
                </c:pt>
                <c:pt idx="35">
                  <c:v>Maroslele</c:v>
                </c:pt>
                <c:pt idx="36">
                  <c:v>Nagylak</c:v>
                </c:pt>
                <c:pt idx="37">
                  <c:v>Pusztamérges</c:v>
                </c:pt>
                <c:pt idx="38">
                  <c:v>Királyhegyes</c:v>
                </c:pt>
              </c:strCache>
            </c:strRef>
          </c:cat>
          <c:val>
            <c:numRef>
              <c:f>Munka1!$B$2:$B$40</c:f>
              <c:numCache>
                <c:formatCode>General</c:formatCode>
                <c:ptCount val="39"/>
                <c:pt idx="0">
                  <c:v>409</c:v>
                </c:pt>
                <c:pt idx="1">
                  <c:v>70</c:v>
                </c:pt>
                <c:pt idx="2">
                  <c:v>7</c:v>
                </c:pt>
                <c:pt idx="3">
                  <c:v>8</c:v>
                </c:pt>
                <c:pt idx="4">
                  <c:v>10</c:v>
                </c:pt>
                <c:pt idx="5">
                  <c:v>10</c:v>
                </c:pt>
                <c:pt idx="6">
                  <c:v>5</c:v>
                </c:pt>
                <c:pt idx="7">
                  <c:v>5</c:v>
                </c:pt>
                <c:pt idx="8">
                  <c:v>2</c:v>
                </c:pt>
                <c:pt idx="9">
                  <c:v>14</c:v>
                </c:pt>
                <c:pt idx="10">
                  <c:v>4</c:v>
                </c:pt>
                <c:pt idx="11">
                  <c:v>0</c:v>
                </c:pt>
                <c:pt idx="12">
                  <c:v>2</c:v>
                </c:pt>
                <c:pt idx="13">
                  <c:v>8</c:v>
                </c:pt>
                <c:pt idx="14">
                  <c:v>5</c:v>
                </c:pt>
                <c:pt idx="15">
                  <c:v>1</c:v>
                </c:pt>
                <c:pt idx="16">
                  <c:v>3</c:v>
                </c:pt>
                <c:pt idx="17">
                  <c:v>4</c:v>
                </c:pt>
                <c:pt idx="18">
                  <c:v>9</c:v>
                </c:pt>
                <c:pt idx="19">
                  <c:v>3</c:v>
                </c:pt>
                <c:pt idx="20">
                  <c:v>0</c:v>
                </c:pt>
                <c:pt idx="21">
                  <c:v>3</c:v>
                </c:pt>
                <c:pt idx="22">
                  <c:v>6</c:v>
                </c:pt>
                <c:pt idx="23">
                  <c:v>2</c:v>
                </c:pt>
                <c:pt idx="24">
                  <c:v>8</c:v>
                </c:pt>
                <c:pt idx="25">
                  <c:v>23</c:v>
                </c:pt>
                <c:pt idx="26">
                  <c:v>1</c:v>
                </c:pt>
                <c:pt idx="27">
                  <c:v>2</c:v>
                </c:pt>
                <c:pt idx="28">
                  <c:v>2</c:v>
                </c:pt>
                <c:pt idx="29">
                  <c:v>1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1</c:v>
                </c:pt>
                <c:pt idx="34">
                  <c:v>0</c:v>
                </c:pt>
                <c:pt idx="35">
                  <c:v>3</c:v>
                </c:pt>
                <c:pt idx="36">
                  <c:v>4</c:v>
                </c:pt>
                <c:pt idx="37">
                  <c:v>1</c:v>
                </c:pt>
                <c:pt idx="38">
                  <c:v>3</c:v>
                </c:pt>
              </c:numCache>
            </c:numRef>
          </c:val>
        </c:ser>
        <c:gapWidth val="100"/>
        <c:axId val="86771584"/>
        <c:axId val="86773120"/>
      </c:barChart>
      <c:catAx>
        <c:axId val="86771584"/>
        <c:scaling>
          <c:orientation val="minMax"/>
        </c:scaling>
        <c:axPos val="l"/>
        <c:tickLblPos val="nextTo"/>
        <c:crossAx val="86773120"/>
        <c:crosses val="autoZero"/>
        <c:auto val="1"/>
        <c:lblAlgn val="ctr"/>
        <c:lblOffset val="100"/>
      </c:catAx>
      <c:valAx>
        <c:axId val="86773120"/>
        <c:scaling>
          <c:orientation val="minMax"/>
        </c:scaling>
        <c:axPos val="b"/>
        <c:majorGridlines/>
        <c:numFmt formatCode="General" sourceLinked="1"/>
        <c:tickLblPos val="nextTo"/>
        <c:crossAx val="86771584"/>
        <c:crosses val="autoZero"/>
        <c:crossBetween val="between"/>
      </c:valAx>
    </c:plotArea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0.11458</cdr:x>
      <cdr:y>0.80042</cdr:y>
    </cdr:from>
    <cdr:to>
      <cdr:x>0.26389</cdr:x>
      <cdr:y>0.82353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628650" y="7258050"/>
          <a:ext cx="819150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100"/>
            <a:t>Kistelek  5</a:t>
          </a:r>
        </a:p>
      </cdr:txBody>
    </cdr:sp>
  </cdr:relSizeAnchor>
</c:userShape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6A8666B5A4448909C987500639F55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2E158F-7F80-4E74-B187-BC19F88D2248}"/>
      </w:docPartPr>
      <w:docPartBody>
        <w:p w:rsidR="00C275B5" w:rsidRDefault="00D6718B" w:rsidP="00D6718B">
          <w:pPr>
            <w:pStyle w:val="56A8666B5A4448909C987500639F55D0"/>
          </w:pPr>
          <w:r>
            <w:rPr>
              <w:color w:val="FFFFFF" w:themeColor="background1"/>
              <w:sz w:val="28"/>
              <w:szCs w:val="28"/>
            </w:rPr>
            <w:t>[Ide írhatja a dokumentum címét]</w:t>
          </w:r>
        </w:p>
      </w:docPartBody>
    </w:docPart>
    <w:docPart>
      <w:docPartPr>
        <w:name w:val="70FBB1E7CA7648A29F2B0CE51B053E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4EF2FF-8DF8-4705-A503-75326CCA73FB}"/>
      </w:docPartPr>
      <w:docPartBody>
        <w:p w:rsidR="00C275B5" w:rsidRDefault="00D6718B" w:rsidP="00D6718B">
          <w:pPr>
            <w:pStyle w:val="70FBB1E7CA7648A29F2B0CE51B053EDA"/>
          </w:pPr>
          <w:r>
            <w:rPr>
              <w:color w:val="FFFFFF" w:themeColor="background1"/>
              <w:sz w:val="36"/>
              <w:szCs w:val="36"/>
            </w:rPr>
            <w:t>[Év]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6718B"/>
    <w:rsid w:val="00113303"/>
    <w:rsid w:val="0057624D"/>
    <w:rsid w:val="00A070DD"/>
    <w:rsid w:val="00C275B5"/>
    <w:rsid w:val="00D6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75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6A8666B5A4448909C987500639F55D0">
    <w:name w:val="56A8666B5A4448909C987500639F55D0"/>
    <w:rsid w:val="00D6718B"/>
  </w:style>
  <w:style w:type="paragraph" w:customStyle="1" w:styleId="70FBB1E7CA7648A29F2B0CE51B053EDA">
    <w:name w:val="70FBB1E7CA7648A29F2B0CE51B053EDA"/>
    <w:rsid w:val="00D671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2013-11-30T00:00:00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Mentőtűzvédelmi szakterület 1. számú melléklet</vt:lpstr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Mentőtűzvédelmi szakterület 1. számú melléklet</dc:title>
  <dc:creator>d</dc:creator>
  <cp:lastModifiedBy>istvan.ordog</cp:lastModifiedBy>
  <cp:revision>2</cp:revision>
  <dcterms:created xsi:type="dcterms:W3CDTF">2014-01-27T13:29:00Z</dcterms:created>
  <dcterms:modified xsi:type="dcterms:W3CDTF">2014-01-27T13:29:00Z</dcterms:modified>
</cp:coreProperties>
</file>